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3D" w:rsidRDefault="0068393D" w:rsidP="007554EF">
      <w:pPr>
        <w:pStyle w:val="Heading1"/>
      </w:pPr>
      <w:bookmarkStart w:id="0" w:name="_Toc404086438"/>
      <w:bookmarkStart w:id="1" w:name="_Toc404093169"/>
      <w:bookmarkStart w:id="2" w:name="_Toc404858740"/>
      <w:r>
        <w:t>Self-evaluation template</w:t>
      </w:r>
      <w:bookmarkEnd w:id="0"/>
      <w:bookmarkEnd w:id="1"/>
      <w:bookmarkEnd w:id="2"/>
    </w:p>
    <w:tbl>
      <w:tblPr>
        <w:tblW w:w="14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079"/>
        <w:gridCol w:w="2835"/>
        <w:gridCol w:w="1984"/>
        <w:gridCol w:w="3468"/>
      </w:tblGrid>
      <w:tr w:rsidR="0068393D" w:rsidRPr="00987155" w:rsidTr="00C95186">
        <w:trPr>
          <w:trHeight w:val="416"/>
          <w:tblHeader/>
        </w:trPr>
        <w:tc>
          <w:tcPr>
            <w:tcW w:w="1985" w:type="dxa"/>
            <w:shd w:val="clear" w:color="auto" w:fill="auto"/>
          </w:tcPr>
          <w:p w:rsidR="0068393D" w:rsidRPr="00987155" w:rsidRDefault="0068393D" w:rsidP="006C046F">
            <w:pPr>
              <w:pStyle w:val="TableHeader"/>
            </w:pPr>
            <w:r w:rsidRPr="00987155">
              <w:t>Focus</w:t>
            </w:r>
          </w:p>
        </w:tc>
        <w:tc>
          <w:tcPr>
            <w:tcW w:w="2126" w:type="dxa"/>
            <w:shd w:val="clear" w:color="auto" w:fill="auto"/>
          </w:tcPr>
          <w:p w:rsidR="0068393D" w:rsidRPr="00987155" w:rsidRDefault="0068393D" w:rsidP="006C046F">
            <w:pPr>
              <w:pStyle w:val="TableHeader"/>
              <w:jc w:val="left"/>
            </w:pPr>
            <w:r w:rsidRPr="00987155">
              <w:t>Barriers to learning</w:t>
            </w:r>
            <w:r w:rsidRPr="00987155">
              <w:tab/>
            </w:r>
          </w:p>
        </w:tc>
        <w:tc>
          <w:tcPr>
            <w:tcW w:w="2079" w:type="dxa"/>
            <w:shd w:val="clear" w:color="auto" w:fill="auto"/>
          </w:tcPr>
          <w:p w:rsidR="0068393D" w:rsidRPr="00987155" w:rsidRDefault="0068393D" w:rsidP="006C046F">
            <w:pPr>
              <w:pStyle w:val="TableHeader"/>
            </w:pPr>
            <w:r w:rsidRPr="00987155">
              <w:t>Desired outcomes</w:t>
            </w:r>
          </w:p>
        </w:tc>
        <w:tc>
          <w:tcPr>
            <w:tcW w:w="2835" w:type="dxa"/>
            <w:shd w:val="clear" w:color="auto" w:fill="auto"/>
          </w:tcPr>
          <w:p w:rsidR="0068393D" w:rsidRPr="00987155" w:rsidRDefault="0068393D" w:rsidP="006C046F">
            <w:pPr>
              <w:pStyle w:val="TableHeader"/>
            </w:pPr>
            <w:r w:rsidRPr="00987155">
              <w:t>Success Criteria</w:t>
            </w:r>
          </w:p>
        </w:tc>
        <w:tc>
          <w:tcPr>
            <w:tcW w:w="1984" w:type="dxa"/>
            <w:shd w:val="clear" w:color="auto" w:fill="auto"/>
          </w:tcPr>
          <w:p w:rsidR="0068393D" w:rsidRPr="00987155" w:rsidRDefault="0068393D" w:rsidP="006C046F">
            <w:pPr>
              <w:pStyle w:val="TableHeader"/>
            </w:pPr>
            <w:r w:rsidRPr="00987155">
              <w:t>Chosen Strategies</w:t>
            </w:r>
          </w:p>
        </w:tc>
        <w:tc>
          <w:tcPr>
            <w:tcW w:w="3468" w:type="dxa"/>
            <w:shd w:val="clear" w:color="auto" w:fill="auto"/>
          </w:tcPr>
          <w:p w:rsidR="0068393D" w:rsidRPr="00987155" w:rsidRDefault="0068393D" w:rsidP="006C046F">
            <w:pPr>
              <w:pStyle w:val="TableHeader"/>
            </w:pPr>
            <w:r w:rsidRPr="00987155">
              <w:t>Evaluation of impact</w:t>
            </w:r>
          </w:p>
        </w:tc>
      </w:tr>
      <w:tr w:rsidR="0068393D" w:rsidRPr="00987155" w:rsidTr="00C95186">
        <w:trPr>
          <w:trHeight w:val="1018"/>
          <w:tblHeader/>
        </w:trPr>
        <w:tc>
          <w:tcPr>
            <w:tcW w:w="1985" w:type="dxa"/>
            <w:shd w:val="clear" w:color="auto" w:fill="auto"/>
          </w:tcPr>
          <w:p w:rsidR="0068393D" w:rsidRPr="00987155" w:rsidRDefault="00601FA5" w:rsidP="005F377A">
            <w:pPr>
              <w:pStyle w:val="TableRow"/>
            </w:pPr>
            <w:r>
              <w:t xml:space="preserve">Reduce the number of homework demerits received by </w:t>
            </w:r>
            <w:r w:rsidR="005F377A">
              <w:t>PP</w:t>
            </w:r>
            <w:r>
              <w:t xml:space="preserve"> students</w:t>
            </w:r>
          </w:p>
        </w:tc>
        <w:tc>
          <w:tcPr>
            <w:tcW w:w="2126" w:type="dxa"/>
            <w:shd w:val="clear" w:color="auto" w:fill="auto"/>
          </w:tcPr>
          <w:p w:rsidR="0068393D" w:rsidRDefault="0014187A" w:rsidP="006C046F">
            <w:pPr>
              <w:pStyle w:val="TableRow"/>
            </w:pPr>
            <w:r>
              <w:t>Students not getting t</w:t>
            </w:r>
            <w:r w:rsidR="00C3106E">
              <w:t>he additional academic work that is provided by homework.</w:t>
            </w:r>
          </w:p>
          <w:p w:rsidR="00C3106E" w:rsidRPr="00987155" w:rsidRDefault="00C3106E" w:rsidP="006C046F">
            <w:pPr>
              <w:pStyle w:val="TableRow"/>
            </w:pPr>
            <w:r>
              <w:t>Students not as prepared for the next lesson or do not consolidate the work from the previous lesson as frequently.</w:t>
            </w:r>
          </w:p>
        </w:tc>
        <w:tc>
          <w:tcPr>
            <w:tcW w:w="2079" w:type="dxa"/>
            <w:shd w:val="clear" w:color="auto" w:fill="auto"/>
          </w:tcPr>
          <w:p w:rsidR="0068393D" w:rsidRPr="00987155" w:rsidRDefault="0014187A" w:rsidP="00D9606D">
            <w:pPr>
              <w:pStyle w:val="TableRow"/>
            </w:pPr>
            <w:r>
              <w:t xml:space="preserve">Students access homework and in doing so access the reviewing or </w:t>
            </w:r>
            <w:r w:rsidR="00D9606D">
              <w:t>preparation work</w:t>
            </w:r>
            <w:r>
              <w:t>.</w:t>
            </w:r>
          </w:p>
        </w:tc>
        <w:tc>
          <w:tcPr>
            <w:tcW w:w="2835" w:type="dxa"/>
            <w:shd w:val="clear" w:color="auto" w:fill="auto"/>
          </w:tcPr>
          <w:p w:rsidR="0068393D" w:rsidRDefault="00601FA5" w:rsidP="006C046F">
            <w:pPr>
              <w:pStyle w:val="TableRow"/>
            </w:pPr>
            <w:r>
              <w:t>Number of homework demerits reduces</w:t>
            </w:r>
            <w:r w:rsidR="0014187A">
              <w:t>.</w:t>
            </w:r>
          </w:p>
          <w:p w:rsidR="0014187A" w:rsidRPr="00987155" w:rsidRDefault="00C416C2" w:rsidP="006C046F">
            <w:pPr>
              <w:pStyle w:val="TableRow"/>
            </w:pPr>
            <w:r>
              <w:t>Student’s</w:t>
            </w:r>
            <w:r w:rsidR="0014187A">
              <w:t xml:space="preserve"> rate of progress increases.</w:t>
            </w:r>
          </w:p>
        </w:tc>
        <w:tc>
          <w:tcPr>
            <w:tcW w:w="1984" w:type="dxa"/>
            <w:shd w:val="clear" w:color="auto" w:fill="auto"/>
          </w:tcPr>
          <w:p w:rsidR="00105025" w:rsidRDefault="00105025" w:rsidP="006C046F">
            <w:pPr>
              <w:pStyle w:val="TableRow"/>
            </w:pPr>
            <w:r>
              <w:t>PP mentor.</w:t>
            </w:r>
          </w:p>
          <w:p w:rsidR="0068393D" w:rsidRDefault="00601FA5" w:rsidP="006C046F">
            <w:pPr>
              <w:pStyle w:val="TableRow"/>
            </w:pPr>
            <w:r>
              <w:t>Homework club</w:t>
            </w:r>
            <w:r w:rsidR="00C416C2">
              <w:t>, breakfast club</w:t>
            </w:r>
            <w:r>
              <w:t xml:space="preserve"> and late bus</w:t>
            </w:r>
            <w:r w:rsidR="0014187A">
              <w:t>.</w:t>
            </w:r>
          </w:p>
          <w:p w:rsidR="0014187A" w:rsidRPr="00987155" w:rsidRDefault="0014187A" w:rsidP="006C046F">
            <w:pPr>
              <w:pStyle w:val="TableRow"/>
            </w:pPr>
          </w:p>
        </w:tc>
        <w:tc>
          <w:tcPr>
            <w:tcW w:w="3468" w:type="dxa"/>
            <w:shd w:val="clear" w:color="auto" w:fill="auto"/>
          </w:tcPr>
          <w:p w:rsidR="0068393D" w:rsidRDefault="00686134" w:rsidP="006C046F">
            <w:pPr>
              <w:pStyle w:val="TableRow"/>
            </w:pPr>
            <w:r>
              <w:t xml:space="preserve">The number of homework demerits gained by </w:t>
            </w:r>
            <w:r w:rsidR="005F377A">
              <w:t>PP</w:t>
            </w:r>
            <w:r>
              <w:t xml:space="preserve"> KS3 students reduced by 31% when comparing the first half term with the last half term of the academic y</w:t>
            </w:r>
            <w:r w:rsidR="005F377A">
              <w:t xml:space="preserve">ear </w:t>
            </w:r>
            <w:r>
              <w:t>2015.</w:t>
            </w:r>
          </w:p>
          <w:p w:rsidR="009D3939" w:rsidRDefault="009D3939" w:rsidP="006C046F">
            <w:pPr>
              <w:pStyle w:val="TableRow"/>
            </w:pPr>
          </w:p>
          <w:p w:rsidR="009D3939" w:rsidRPr="00987155" w:rsidRDefault="009D3939" w:rsidP="006C046F">
            <w:pPr>
              <w:pStyle w:val="TableRow"/>
            </w:pPr>
          </w:p>
        </w:tc>
      </w:tr>
      <w:tr w:rsidR="0068393D" w:rsidRPr="00987155" w:rsidTr="00C95186">
        <w:trPr>
          <w:trHeight w:val="1131"/>
          <w:tblHeader/>
        </w:trPr>
        <w:tc>
          <w:tcPr>
            <w:tcW w:w="1985" w:type="dxa"/>
            <w:shd w:val="clear" w:color="auto" w:fill="auto"/>
          </w:tcPr>
          <w:p w:rsidR="0068393D" w:rsidRPr="00987155" w:rsidRDefault="00601FA5" w:rsidP="005F377A">
            <w:pPr>
              <w:pStyle w:val="TableRow"/>
            </w:pPr>
            <w:r>
              <w:t xml:space="preserve">Increase the number of </w:t>
            </w:r>
            <w:r w:rsidR="005F377A">
              <w:t>PP</w:t>
            </w:r>
            <w:r>
              <w:t xml:space="preserve"> who eat breakfast</w:t>
            </w:r>
          </w:p>
        </w:tc>
        <w:tc>
          <w:tcPr>
            <w:tcW w:w="2126" w:type="dxa"/>
            <w:shd w:val="clear" w:color="auto" w:fill="auto"/>
          </w:tcPr>
          <w:p w:rsidR="0068393D" w:rsidRPr="00987155" w:rsidRDefault="00715DF5" w:rsidP="00715DF5">
            <w:pPr>
              <w:pStyle w:val="TableRow"/>
            </w:pPr>
            <w:r>
              <w:t>D</w:t>
            </w:r>
            <w:r w:rsidR="00686134">
              <w:t xml:space="preserve">isruption in lessons </w:t>
            </w:r>
            <w:r>
              <w:t xml:space="preserve">through lower concentration. Demerits for classwork and/or disruption. </w:t>
            </w:r>
            <w:r w:rsidR="00686134">
              <w:t xml:space="preserve"> </w:t>
            </w:r>
            <w:r>
              <w:t>Lower rates of progress.</w:t>
            </w:r>
          </w:p>
        </w:tc>
        <w:tc>
          <w:tcPr>
            <w:tcW w:w="2079" w:type="dxa"/>
            <w:shd w:val="clear" w:color="auto" w:fill="auto"/>
          </w:tcPr>
          <w:p w:rsidR="0014187A" w:rsidRPr="00987155" w:rsidRDefault="0014187A" w:rsidP="00D269D2">
            <w:pPr>
              <w:pStyle w:val="TableRow"/>
            </w:pPr>
            <w:r>
              <w:t xml:space="preserve">Students </w:t>
            </w:r>
            <w:r w:rsidR="00D269D2">
              <w:t>e</w:t>
            </w:r>
            <w:r>
              <w:t xml:space="preserve">at breakfast and are therefore able to concentrate better in class, do not disrupt as frequently and have </w:t>
            </w:r>
            <w:r w:rsidR="004214B3">
              <w:t>better rates of progress.</w:t>
            </w:r>
          </w:p>
        </w:tc>
        <w:tc>
          <w:tcPr>
            <w:tcW w:w="2835" w:type="dxa"/>
            <w:shd w:val="clear" w:color="auto" w:fill="auto"/>
          </w:tcPr>
          <w:p w:rsidR="0068393D" w:rsidRDefault="00686134" w:rsidP="006C046F">
            <w:pPr>
              <w:pStyle w:val="TableRow"/>
            </w:pPr>
            <w:r>
              <w:t>Number of demerits reduces.</w:t>
            </w:r>
          </w:p>
          <w:p w:rsidR="00686134" w:rsidRDefault="00686134" w:rsidP="006C046F">
            <w:pPr>
              <w:pStyle w:val="TableRow"/>
            </w:pPr>
            <w:r>
              <w:t>Rates of progress increases.</w:t>
            </w:r>
          </w:p>
          <w:p w:rsidR="00E3248F" w:rsidRDefault="00E3248F" w:rsidP="006C046F">
            <w:pPr>
              <w:pStyle w:val="TableRow"/>
            </w:pPr>
            <w:r>
              <w:t>Increased engagement with staff.</w:t>
            </w:r>
          </w:p>
          <w:p w:rsidR="00E3248F" w:rsidRPr="00987155" w:rsidRDefault="00E3248F" w:rsidP="006C046F">
            <w:pPr>
              <w:pStyle w:val="TableRow"/>
            </w:pPr>
            <w:r>
              <w:t>Increased confidence in discussions.</w:t>
            </w:r>
          </w:p>
        </w:tc>
        <w:tc>
          <w:tcPr>
            <w:tcW w:w="1984" w:type="dxa"/>
            <w:shd w:val="clear" w:color="auto" w:fill="auto"/>
          </w:tcPr>
          <w:p w:rsidR="00105025" w:rsidRDefault="00105025" w:rsidP="006C046F">
            <w:pPr>
              <w:pStyle w:val="TableRow"/>
            </w:pPr>
            <w:r>
              <w:t>PP mentor.</w:t>
            </w:r>
          </w:p>
          <w:p w:rsidR="0068393D" w:rsidRPr="00987155" w:rsidRDefault="0014187A" w:rsidP="006C046F">
            <w:pPr>
              <w:pStyle w:val="TableRow"/>
            </w:pPr>
            <w:r>
              <w:t>Breakfast club</w:t>
            </w:r>
            <w:r w:rsidR="00686134">
              <w:t xml:space="preserve"> that not only provides breakfast but allows staff to engage with students checking homework completion,</w:t>
            </w:r>
            <w:r w:rsidR="00105025">
              <w:t xml:space="preserve"> carrying </w:t>
            </w:r>
            <w:proofErr w:type="gramStart"/>
            <w:r w:rsidR="00105025">
              <w:t xml:space="preserve">out </w:t>
            </w:r>
            <w:r w:rsidR="00686134">
              <w:t xml:space="preserve"> equipment</w:t>
            </w:r>
            <w:proofErr w:type="gramEnd"/>
            <w:r w:rsidR="00686134">
              <w:t xml:space="preserve"> checks etc.</w:t>
            </w:r>
            <w:r w:rsidR="00030D58">
              <w:t xml:space="preserve"> along with discussion of topical issues.</w:t>
            </w:r>
          </w:p>
        </w:tc>
        <w:tc>
          <w:tcPr>
            <w:tcW w:w="3468" w:type="dxa"/>
            <w:shd w:val="clear" w:color="auto" w:fill="auto"/>
          </w:tcPr>
          <w:p w:rsidR="0068393D" w:rsidRDefault="0014187A" w:rsidP="00F27385">
            <w:pPr>
              <w:pStyle w:val="TableRow"/>
            </w:pPr>
            <w:r>
              <w:t>The number of KS3 students</w:t>
            </w:r>
            <w:r w:rsidR="00F27385">
              <w:t xml:space="preserve"> attending breakfast club has increased on average by </w:t>
            </w:r>
            <w:r w:rsidR="00980CEF">
              <w:t xml:space="preserve">over 300% </w:t>
            </w:r>
            <w:r w:rsidR="00F27385">
              <w:t>over the tim</w:t>
            </w:r>
            <w:r w:rsidR="00980CEF">
              <w:t xml:space="preserve">e period May 2014-October 2015. Numbers attending during </w:t>
            </w:r>
            <w:r w:rsidR="005F377A">
              <w:t xml:space="preserve">Autumn HT1 </w:t>
            </w:r>
            <w:r w:rsidR="00980CEF">
              <w:t xml:space="preserve">2015 </w:t>
            </w:r>
            <w:r w:rsidR="00EA7709">
              <w:t>averaged 30.</w:t>
            </w:r>
          </w:p>
          <w:p w:rsidR="006E7AD6" w:rsidRDefault="006E7AD6" w:rsidP="00F27385">
            <w:pPr>
              <w:pStyle w:val="TableRow"/>
            </w:pPr>
            <w:r>
              <w:t>The number of demerits decreased on Wedne</w:t>
            </w:r>
            <w:r w:rsidR="005F377A">
              <w:t xml:space="preserve">sdays in the academic year </w:t>
            </w:r>
            <w:r>
              <w:t xml:space="preserve">2015 </w:t>
            </w:r>
            <w:r w:rsidR="002965C8">
              <w:t>resulting in</w:t>
            </w:r>
            <w:r>
              <w:t xml:space="preserve"> the </w:t>
            </w:r>
            <w:r w:rsidR="002965C8">
              <w:t xml:space="preserve">day with the </w:t>
            </w:r>
            <w:r>
              <w:t xml:space="preserve">lowest </w:t>
            </w:r>
            <w:r w:rsidR="002965C8">
              <w:t>number of demerits</w:t>
            </w:r>
            <w:r>
              <w:t xml:space="preserve"> for those stu</w:t>
            </w:r>
            <w:r w:rsidR="00AE7BD2">
              <w:t>dents who attended</w:t>
            </w:r>
            <w:r>
              <w:t>. (Wednesday was the only day that KS3 breakfast club ran in this year).</w:t>
            </w:r>
          </w:p>
          <w:p w:rsidR="00D30AA2" w:rsidRDefault="00D30AA2" w:rsidP="00F27385">
            <w:pPr>
              <w:pStyle w:val="TableRow"/>
            </w:pPr>
          </w:p>
          <w:p w:rsidR="00D30AA2" w:rsidRPr="00987155" w:rsidRDefault="00D30AA2" w:rsidP="00F27385">
            <w:pPr>
              <w:pStyle w:val="TableRow"/>
            </w:pPr>
          </w:p>
        </w:tc>
      </w:tr>
      <w:tr w:rsidR="0068393D" w:rsidRPr="00987155" w:rsidTr="00C95186">
        <w:trPr>
          <w:trHeight w:val="1119"/>
          <w:tblHeader/>
        </w:trPr>
        <w:tc>
          <w:tcPr>
            <w:tcW w:w="1985" w:type="dxa"/>
            <w:shd w:val="clear" w:color="auto" w:fill="auto"/>
          </w:tcPr>
          <w:p w:rsidR="0068393D" w:rsidRPr="00987155" w:rsidRDefault="00601FA5" w:rsidP="006C046F">
            <w:pPr>
              <w:pStyle w:val="TableRow"/>
            </w:pPr>
            <w:r>
              <w:t xml:space="preserve">Increase uptake of disadvantaged taking part in </w:t>
            </w:r>
            <w:proofErr w:type="spellStart"/>
            <w:r>
              <w:t>extra curricular</w:t>
            </w:r>
            <w:proofErr w:type="spellEnd"/>
            <w:r>
              <w:t xml:space="preserve"> activities</w:t>
            </w:r>
          </w:p>
        </w:tc>
        <w:tc>
          <w:tcPr>
            <w:tcW w:w="2126" w:type="dxa"/>
            <w:shd w:val="clear" w:color="auto" w:fill="auto"/>
          </w:tcPr>
          <w:p w:rsidR="0068393D" w:rsidRPr="00987155" w:rsidRDefault="00F93E8D" w:rsidP="006C046F">
            <w:pPr>
              <w:pStyle w:val="TableRow"/>
            </w:pPr>
            <w:r>
              <w:t xml:space="preserve">Students not as engaged </w:t>
            </w:r>
            <w:r w:rsidR="00334AC3">
              <w:t xml:space="preserve">in certain subjects </w:t>
            </w:r>
            <w:r>
              <w:t>or falling behind in certain subjects due to only</w:t>
            </w:r>
            <w:r w:rsidR="00087009">
              <w:t xml:space="preserve"> having</w:t>
            </w:r>
            <w:r>
              <w:t xml:space="preserve"> lesson contact with the subject.</w:t>
            </w:r>
          </w:p>
        </w:tc>
        <w:tc>
          <w:tcPr>
            <w:tcW w:w="2079" w:type="dxa"/>
            <w:shd w:val="clear" w:color="auto" w:fill="auto"/>
          </w:tcPr>
          <w:p w:rsidR="0068393D" w:rsidRDefault="00F93E8D" w:rsidP="006C046F">
            <w:pPr>
              <w:pStyle w:val="TableRow"/>
            </w:pPr>
            <w:r>
              <w:t>Increase</w:t>
            </w:r>
            <w:r w:rsidR="00087009">
              <w:t xml:space="preserve">d </w:t>
            </w:r>
            <w:r>
              <w:t>uptake.</w:t>
            </w:r>
          </w:p>
          <w:p w:rsidR="00F93E8D" w:rsidRDefault="00F93E8D" w:rsidP="006C046F">
            <w:pPr>
              <w:pStyle w:val="TableRow"/>
            </w:pPr>
            <w:r>
              <w:t>Increased confidence.</w:t>
            </w:r>
          </w:p>
          <w:p w:rsidR="00F93E8D" w:rsidRPr="00987155" w:rsidRDefault="00F93E8D" w:rsidP="006C046F">
            <w:pPr>
              <w:pStyle w:val="TableRow"/>
            </w:pPr>
          </w:p>
        </w:tc>
        <w:tc>
          <w:tcPr>
            <w:tcW w:w="2835" w:type="dxa"/>
            <w:shd w:val="clear" w:color="auto" w:fill="auto"/>
          </w:tcPr>
          <w:p w:rsidR="0068393D" w:rsidRPr="00987155" w:rsidRDefault="00334AC3" w:rsidP="006C046F">
            <w:pPr>
              <w:pStyle w:val="TableRow"/>
            </w:pPr>
            <w:r>
              <w:t xml:space="preserve">Percentage of students involved in </w:t>
            </w:r>
            <w:proofErr w:type="spellStart"/>
            <w:r>
              <w:t>extra curricular</w:t>
            </w:r>
            <w:proofErr w:type="spellEnd"/>
            <w:r>
              <w:t xml:space="preserve"> activities increases. Progress rates in these areas increase.</w:t>
            </w:r>
          </w:p>
        </w:tc>
        <w:tc>
          <w:tcPr>
            <w:tcW w:w="1984" w:type="dxa"/>
            <w:shd w:val="clear" w:color="auto" w:fill="auto"/>
          </w:tcPr>
          <w:p w:rsidR="0068393D" w:rsidRDefault="00601FA5" w:rsidP="006C046F">
            <w:pPr>
              <w:pStyle w:val="TableRow"/>
            </w:pPr>
            <w:r>
              <w:t xml:space="preserve">Discount provided for </w:t>
            </w:r>
            <w:proofErr w:type="spellStart"/>
            <w:r>
              <w:t>extra curricul</w:t>
            </w:r>
            <w:r w:rsidR="00087009">
              <w:t>ar</w:t>
            </w:r>
            <w:proofErr w:type="spellEnd"/>
            <w:r w:rsidR="00087009">
              <w:t xml:space="preserve"> activities that involve fees</w:t>
            </w:r>
            <w:r>
              <w:t>.</w:t>
            </w:r>
          </w:p>
          <w:p w:rsidR="00601FA5" w:rsidRDefault="00087009" w:rsidP="006C046F">
            <w:pPr>
              <w:pStyle w:val="TableRow"/>
            </w:pPr>
            <w:r>
              <w:t>Advertise.</w:t>
            </w:r>
          </w:p>
          <w:p w:rsidR="00B66924" w:rsidRDefault="00B66924" w:rsidP="006C046F">
            <w:pPr>
              <w:pStyle w:val="TableRow"/>
            </w:pPr>
            <w:r>
              <w:t>Specific residential trips for PP students</w:t>
            </w:r>
            <w:r w:rsidR="00087009">
              <w:t>.</w:t>
            </w:r>
          </w:p>
          <w:p w:rsidR="00F93E8D" w:rsidRDefault="00F93E8D" w:rsidP="006C046F">
            <w:pPr>
              <w:pStyle w:val="TableRow"/>
            </w:pPr>
            <w:r>
              <w:t>Art club</w:t>
            </w:r>
            <w:r w:rsidR="00087009">
              <w:t>.</w:t>
            </w:r>
          </w:p>
          <w:p w:rsidR="00F93E8D" w:rsidRDefault="00F93E8D" w:rsidP="006C046F">
            <w:pPr>
              <w:pStyle w:val="TableRow"/>
            </w:pPr>
            <w:r>
              <w:t>Family cooking club</w:t>
            </w:r>
            <w:r w:rsidR="00334AC3">
              <w:t>.</w:t>
            </w:r>
          </w:p>
          <w:p w:rsidR="00334AC3" w:rsidRDefault="00334AC3" w:rsidP="006C046F">
            <w:pPr>
              <w:pStyle w:val="TableRow"/>
            </w:pPr>
            <w:r>
              <w:t>Late bus for students to get home after activities.</w:t>
            </w:r>
          </w:p>
          <w:p w:rsidR="00B66924" w:rsidRPr="00987155" w:rsidRDefault="00B66924" w:rsidP="006C046F">
            <w:pPr>
              <w:pStyle w:val="TableRow"/>
            </w:pPr>
          </w:p>
        </w:tc>
        <w:tc>
          <w:tcPr>
            <w:tcW w:w="3468" w:type="dxa"/>
            <w:shd w:val="clear" w:color="auto" w:fill="auto"/>
          </w:tcPr>
          <w:p w:rsidR="0068393D" w:rsidRDefault="00B66924" w:rsidP="00B66924">
            <w:pPr>
              <w:pStyle w:val="TableRow"/>
            </w:pPr>
            <w:r>
              <w:t xml:space="preserve">90% of all </w:t>
            </w:r>
            <w:r w:rsidR="00341AD9">
              <w:t>PP</w:t>
            </w:r>
            <w:r>
              <w:t xml:space="preserve"> students have taken part in a residential trip over the past 2 years. </w:t>
            </w:r>
          </w:p>
          <w:p w:rsidR="00D30AA2" w:rsidRDefault="00341AD9" w:rsidP="00B66924">
            <w:pPr>
              <w:pStyle w:val="TableRow"/>
            </w:pPr>
            <w:r>
              <w:t>PP</w:t>
            </w:r>
            <w:r w:rsidR="00D30AA2">
              <w:t xml:space="preserve"> students form part of dance, drama, </w:t>
            </w:r>
            <w:proofErr w:type="gramStart"/>
            <w:r w:rsidR="00D30AA2">
              <w:t>sport</w:t>
            </w:r>
            <w:proofErr w:type="gramEnd"/>
            <w:r w:rsidR="00D30AA2">
              <w:t xml:space="preserve"> and</w:t>
            </w:r>
            <w:r w:rsidR="00F93E8D">
              <w:t xml:space="preserve"> music clubs.</w:t>
            </w:r>
          </w:p>
          <w:p w:rsidR="009D3939" w:rsidRDefault="00D30AA2" w:rsidP="00B66924">
            <w:pPr>
              <w:pStyle w:val="TableRow"/>
            </w:pPr>
            <w:r>
              <w:t>Instrumental lessons have</w:t>
            </w:r>
            <w:r w:rsidR="00334AC3">
              <w:t xml:space="preserve"> recently been targeted for increased uptake. </w:t>
            </w:r>
            <w:r>
              <w:t xml:space="preserve">3 additional students </w:t>
            </w:r>
            <w:r w:rsidR="00334AC3">
              <w:t>have taken these up</w:t>
            </w:r>
            <w:r>
              <w:t>.</w:t>
            </w:r>
            <w:r w:rsidR="00334AC3">
              <w:t xml:space="preserve"> </w:t>
            </w:r>
          </w:p>
          <w:p w:rsidR="009D3939" w:rsidRDefault="009D3939" w:rsidP="00B66924">
            <w:pPr>
              <w:pStyle w:val="TableRow"/>
            </w:pPr>
          </w:p>
          <w:p w:rsidR="00B66924" w:rsidRPr="00987155" w:rsidRDefault="00B66924" w:rsidP="005F377A">
            <w:pPr>
              <w:pStyle w:val="TableRow"/>
            </w:pPr>
          </w:p>
        </w:tc>
      </w:tr>
      <w:tr w:rsidR="0068393D" w:rsidRPr="00987155" w:rsidTr="00C95186">
        <w:trPr>
          <w:trHeight w:val="1264"/>
          <w:tblHeader/>
        </w:trPr>
        <w:tc>
          <w:tcPr>
            <w:tcW w:w="1985" w:type="dxa"/>
            <w:shd w:val="clear" w:color="auto" w:fill="auto"/>
          </w:tcPr>
          <w:p w:rsidR="0068393D" w:rsidRPr="00987155" w:rsidRDefault="00C93C9F" w:rsidP="005F377A">
            <w:pPr>
              <w:pStyle w:val="TableRow"/>
            </w:pPr>
            <w:r>
              <w:t xml:space="preserve">Improve reading ages </w:t>
            </w:r>
            <w:r w:rsidR="00601FA5">
              <w:t xml:space="preserve">of </w:t>
            </w:r>
            <w:r w:rsidR="005F377A">
              <w:t>PP</w:t>
            </w:r>
            <w:r w:rsidR="00601FA5">
              <w:t xml:space="preserve"> students</w:t>
            </w:r>
          </w:p>
        </w:tc>
        <w:tc>
          <w:tcPr>
            <w:tcW w:w="2126" w:type="dxa"/>
            <w:shd w:val="clear" w:color="auto" w:fill="auto"/>
          </w:tcPr>
          <w:p w:rsidR="0068393D" w:rsidRPr="00987155" w:rsidRDefault="00F93E8D" w:rsidP="006C046F">
            <w:pPr>
              <w:pStyle w:val="TableRow"/>
            </w:pPr>
            <w:r>
              <w:t>Students struggle to access texts, struggle with literacy in increased-literacy tests</w:t>
            </w:r>
            <w:r w:rsidR="00260D6E">
              <w:t>/exams.</w:t>
            </w:r>
          </w:p>
        </w:tc>
        <w:tc>
          <w:tcPr>
            <w:tcW w:w="2079" w:type="dxa"/>
            <w:shd w:val="clear" w:color="auto" w:fill="auto"/>
          </w:tcPr>
          <w:p w:rsidR="0068393D" w:rsidRDefault="00362028" w:rsidP="006C046F">
            <w:pPr>
              <w:pStyle w:val="TableRow"/>
            </w:pPr>
            <w:r>
              <w:t>Increased reading age</w:t>
            </w:r>
          </w:p>
          <w:p w:rsidR="00362028" w:rsidRDefault="00362028" w:rsidP="006C046F">
            <w:pPr>
              <w:pStyle w:val="TableRow"/>
            </w:pPr>
            <w:r>
              <w:t>Increased engagement with subject literacy</w:t>
            </w:r>
          </w:p>
          <w:p w:rsidR="00362028" w:rsidRDefault="00362028" w:rsidP="006C046F">
            <w:pPr>
              <w:pStyle w:val="TableRow"/>
            </w:pPr>
            <w:r>
              <w:t>Improved test</w:t>
            </w:r>
            <w:r w:rsidR="00260D6E">
              <w:t xml:space="preserve"> results</w:t>
            </w:r>
          </w:p>
          <w:p w:rsidR="00260D6E" w:rsidRPr="00987155" w:rsidRDefault="00260D6E" w:rsidP="006C046F">
            <w:pPr>
              <w:pStyle w:val="TableRow"/>
            </w:pPr>
            <w:r>
              <w:t>Increased confidence</w:t>
            </w:r>
          </w:p>
        </w:tc>
        <w:tc>
          <w:tcPr>
            <w:tcW w:w="2835" w:type="dxa"/>
            <w:shd w:val="clear" w:color="auto" w:fill="auto"/>
          </w:tcPr>
          <w:p w:rsidR="0068393D" w:rsidRDefault="00260D6E" w:rsidP="006C046F">
            <w:pPr>
              <w:pStyle w:val="TableRow"/>
            </w:pPr>
            <w:r>
              <w:t>Student rate of progress increases.</w:t>
            </w:r>
          </w:p>
          <w:p w:rsidR="00260D6E" w:rsidRDefault="00260D6E" w:rsidP="00260D6E">
            <w:pPr>
              <w:pStyle w:val="TableRow"/>
            </w:pPr>
            <w:r>
              <w:t>Students show increased confidence in their literacy skills.</w:t>
            </w:r>
          </w:p>
          <w:p w:rsidR="00260D6E" w:rsidRDefault="00260D6E" w:rsidP="00260D6E">
            <w:pPr>
              <w:pStyle w:val="TableRow"/>
            </w:pPr>
          </w:p>
          <w:p w:rsidR="00260D6E" w:rsidRPr="00987155" w:rsidRDefault="00260D6E" w:rsidP="006C046F">
            <w:pPr>
              <w:pStyle w:val="TableRow"/>
            </w:pPr>
          </w:p>
        </w:tc>
        <w:tc>
          <w:tcPr>
            <w:tcW w:w="1984" w:type="dxa"/>
            <w:shd w:val="clear" w:color="auto" w:fill="auto"/>
          </w:tcPr>
          <w:p w:rsidR="0068393D" w:rsidRDefault="00B66924" w:rsidP="006C046F">
            <w:pPr>
              <w:pStyle w:val="TableRow"/>
            </w:pPr>
            <w:r>
              <w:t>PTEs</w:t>
            </w:r>
          </w:p>
          <w:p w:rsidR="00B66924" w:rsidRDefault="00B66924" w:rsidP="006C046F">
            <w:pPr>
              <w:pStyle w:val="TableRow"/>
            </w:pPr>
            <w:proofErr w:type="spellStart"/>
            <w:r>
              <w:t>Lexia</w:t>
            </w:r>
            <w:proofErr w:type="spellEnd"/>
            <w:r>
              <w:t xml:space="preserve"> literacy programme</w:t>
            </w:r>
            <w:r w:rsidR="00C3373A">
              <w:t xml:space="preserve"> initially </w:t>
            </w:r>
            <w:r w:rsidR="00196751">
              <w:t>focused</w:t>
            </w:r>
            <w:r w:rsidR="00C3373A">
              <w:t xml:space="preserve"> on </w:t>
            </w:r>
            <w:r w:rsidR="005F377A">
              <w:t>PP</w:t>
            </w:r>
            <w:r w:rsidR="00C3373A">
              <w:t xml:space="preserve"> students.</w:t>
            </w:r>
          </w:p>
          <w:p w:rsidR="00C3373A" w:rsidRDefault="00C3373A" w:rsidP="006C046F">
            <w:pPr>
              <w:pStyle w:val="TableRow"/>
            </w:pPr>
            <w:r>
              <w:t>Reading age tests</w:t>
            </w:r>
          </w:p>
          <w:p w:rsidR="00F93E8D" w:rsidRDefault="00F93E8D" w:rsidP="006C046F">
            <w:pPr>
              <w:pStyle w:val="TableRow"/>
            </w:pPr>
            <w:r>
              <w:t>ERIC</w:t>
            </w:r>
          </w:p>
          <w:p w:rsidR="00F93E8D" w:rsidRDefault="00F93E8D" w:rsidP="006C046F">
            <w:pPr>
              <w:pStyle w:val="TableRow"/>
            </w:pPr>
            <w:r>
              <w:t>Paired reading</w:t>
            </w:r>
          </w:p>
          <w:p w:rsidR="00C3373A" w:rsidRPr="00987155" w:rsidRDefault="00C3373A" w:rsidP="006C046F">
            <w:pPr>
              <w:pStyle w:val="TableRow"/>
            </w:pPr>
          </w:p>
        </w:tc>
        <w:tc>
          <w:tcPr>
            <w:tcW w:w="3468" w:type="dxa"/>
            <w:shd w:val="clear" w:color="auto" w:fill="auto"/>
          </w:tcPr>
          <w:p w:rsidR="0068393D" w:rsidRDefault="00D30AA2" w:rsidP="006C046F">
            <w:pPr>
              <w:pStyle w:val="TableRow"/>
            </w:pPr>
            <w:r>
              <w:t>Evidence from the 20</w:t>
            </w:r>
            <w:r w:rsidR="00C93C9F">
              <w:t>1</w:t>
            </w:r>
            <w:r>
              <w:t xml:space="preserve">3-2014 academic year showed that </w:t>
            </w:r>
            <w:r w:rsidR="00C3373A">
              <w:t xml:space="preserve">Y7 </w:t>
            </w:r>
            <w:r w:rsidR="005F377A">
              <w:t>PP</w:t>
            </w:r>
            <w:r>
              <w:t xml:space="preserve"> s</w:t>
            </w:r>
            <w:r w:rsidR="00C93C9F">
              <w:t xml:space="preserve">tudents made an average of </w:t>
            </w:r>
            <w:r w:rsidR="00C3373A">
              <w:t>22 months improvement over the course of the academic year. This was in comparison to 16 months for non-</w:t>
            </w:r>
            <w:r w:rsidR="005F377A">
              <w:t>PP</w:t>
            </w:r>
            <w:r w:rsidR="00C3373A">
              <w:t>.</w:t>
            </w:r>
          </w:p>
          <w:p w:rsidR="00C3373A" w:rsidRPr="00987155" w:rsidRDefault="00C3373A" w:rsidP="006C046F">
            <w:pPr>
              <w:pStyle w:val="TableRow"/>
            </w:pPr>
          </w:p>
        </w:tc>
      </w:tr>
      <w:tr w:rsidR="00601FA5" w:rsidRPr="00987155" w:rsidTr="00C95186">
        <w:trPr>
          <w:trHeight w:val="1264"/>
          <w:tblHeader/>
        </w:trPr>
        <w:tc>
          <w:tcPr>
            <w:tcW w:w="1985" w:type="dxa"/>
            <w:shd w:val="clear" w:color="auto" w:fill="auto"/>
          </w:tcPr>
          <w:p w:rsidR="00601FA5" w:rsidRDefault="00601FA5" w:rsidP="005F377A">
            <w:pPr>
              <w:pStyle w:val="TableRow"/>
            </w:pPr>
            <w:r>
              <w:t xml:space="preserve">Increase </w:t>
            </w:r>
            <w:r w:rsidR="005F377A">
              <w:t>PP</w:t>
            </w:r>
            <w:r>
              <w:t xml:space="preserve"> student parental engagement </w:t>
            </w:r>
          </w:p>
        </w:tc>
        <w:tc>
          <w:tcPr>
            <w:tcW w:w="2126" w:type="dxa"/>
            <w:shd w:val="clear" w:color="auto" w:fill="auto"/>
          </w:tcPr>
          <w:p w:rsidR="00601FA5" w:rsidRPr="00987155" w:rsidRDefault="00F93E8D" w:rsidP="006C046F">
            <w:pPr>
              <w:pStyle w:val="TableRow"/>
            </w:pPr>
            <w:r>
              <w:t xml:space="preserve">Parents are not </w:t>
            </w:r>
            <w:r w:rsidR="00310DB5">
              <w:t xml:space="preserve">fully </w:t>
            </w:r>
            <w:r>
              <w:t>aware of what they can do at home to help their children. They are often not aware of resources that can be provided by school and the opportunities available to their children.</w:t>
            </w:r>
          </w:p>
        </w:tc>
        <w:tc>
          <w:tcPr>
            <w:tcW w:w="2079" w:type="dxa"/>
            <w:shd w:val="clear" w:color="auto" w:fill="auto"/>
          </w:tcPr>
          <w:p w:rsidR="00601FA5" w:rsidRPr="00987155" w:rsidRDefault="00F93E8D" w:rsidP="00310DB5">
            <w:pPr>
              <w:pStyle w:val="TableRow"/>
            </w:pPr>
            <w:r>
              <w:t xml:space="preserve">Parents fully informed of </w:t>
            </w:r>
            <w:r w:rsidR="00310DB5">
              <w:t>resources</w:t>
            </w:r>
            <w:r>
              <w:t xml:space="preserve">, opportunities and </w:t>
            </w:r>
            <w:r w:rsidR="00310DB5">
              <w:t>who to contact for help</w:t>
            </w:r>
            <w:r>
              <w:t>.</w:t>
            </w:r>
          </w:p>
        </w:tc>
        <w:tc>
          <w:tcPr>
            <w:tcW w:w="2835" w:type="dxa"/>
            <w:shd w:val="clear" w:color="auto" w:fill="auto"/>
          </w:tcPr>
          <w:p w:rsidR="00601FA5" w:rsidRDefault="00F93E8D" w:rsidP="006C046F">
            <w:pPr>
              <w:pStyle w:val="TableRow"/>
            </w:pPr>
            <w:r>
              <w:t>More parents visiting and calling school.</w:t>
            </w:r>
          </w:p>
          <w:p w:rsidR="00F93E8D" w:rsidRDefault="00310DB5" w:rsidP="006C046F">
            <w:pPr>
              <w:pStyle w:val="TableRow"/>
            </w:pPr>
            <w:r>
              <w:t>Regular</w:t>
            </w:r>
            <w:r w:rsidR="00F93E8D">
              <w:t xml:space="preserve"> contact with PP mentor.</w:t>
            </w:r>
          </w:p>
          <w:p w:rsidR="00F93E8D" w:rsidRDefault="00F93E8D" w:rsidP="00F93E8D">
            <w:pPr>
              <w:pStyle w:val="TableRow"/>
            </w:pPr>
            <w:r>
              <w:t xml:space="preserve">More children attending </w:t>
            </w:r>
            <w:proofErr w:type="spellStart"/>
            <w:r>
              <w:t>extra curricular</w:t>
            </w:r>
            <w:proofErr w:type="spellEnd"/>
            <w:r>
              <w:t xml:space="preserve"> activities.</w:t>
            </w:r>
          </w:p>
          <w:p w:rsidR="00F93E8D" w:rsidRDefault="00F93E8D" w:rsidP="00F93E8D">
            <w:pPr>
              <w:pStyle w:val="TableRow"/>
            </w:pPr>
            <w:r>
              <w:t>More children attending residential trips.</w:t>
            </w:r>
          </w:p>
          <w:p w:rsidR="00F93E8D" w:rsidRPr="00987155" w:rsidRDefault="00F93E8D" w:rsidP="00F93E8D">
            <w:pPr>
              <w:pStyle w:val="TableRow"/>
            </w:pPr>
          </w:p>
        </w:tc>
        <w:tc>
          <w:tcPr>
            <w:tcW w:w="1984" w:type="dxa"/>
            <w:shd w:val="clear" w:color="auto" w:fill="auto"/>
          </w:tcPr>
          <w:p w:rsidR="00F93E8D" w:rsidRDefault="00F93E8D" w:rsidP="006C046F">
            <w:pPr>
              <w:pStyle w:val="TableRow"/>
            </w:pPr>
            <w:r>
              <w:t>Employ a dedicated PP mentor.</w:t>
            </w:r>
          </w:p>
          <w:p w:rsidR="00601FA5" w:rsidRDefault="00601FA5" w:rsidP="006C046F">
            <w:pPr>
              <w:pStyle w:val="TableRow"/>
            </w:pPr>
            <w:r>
              <w:t>Parental drop-in sessions</w:t>
            </w:r>
            <w:r w:rsidR="009C721F">
              <w:t xml:space="preserve"> and information evenings.</w:t>
            </w:r>
          </w:p>
          <w:p w:rsidR="009C721F" w:rsidRDefault="009C721F" w:rsidP="006C046F">
            <w:pPr>
              <w:pStyle w:val="TableRow"/>
            </w:pPr>
            <w:r>
              <w:t>More phone calls/letters home</w:t>
            </w:r>
          </w:p>
          <w:p w:rsidR="00C3373A" w:rsidRDefault="00C3373A" w:rsidP="006C046F">
            <w:pPr>
              <w:pStyle w:val="TableRow"/>
            </w:pPr>
            <w:r>
              <w:t>Making parents aware of LSS – PP mentor. Direct dial and emails given.</w:t>
            </w:r>
          </w:p>
          <w:p w:rsidR="00601FA5" w:rsidRPr="00987155" w:rsidRDefault="00601FA5" w:rsidP="006C046F">
            <w:pPr>
              <w:pStyle w:val="TableRow"/>
            </w:pPr>
          </w:p>
        </w:tc>
        <w:tc>
          <w:tcPr>
            <w:tcW w:w="3468" w:type="dxa"/>
            <w:shd w:val="clear" w:color="auto" w:fill="auto"/>
          </w:tcPr>
          <w:p w:rsidR="00DC7841" w:rsidRDefault="00DC7841" w:rsidP="00C95186">
            <w:pPr>
              <w:pStyle w:val="TableRow"/>
            </w:pPr>
            <w:r>
              <w:t>Comparing 2013 to 2014, PP parental attendance at parents evening has increased by 6%</w:t>
            </w:r>
            <w:r w:rsidR="00C95186">
              <w:t>.</w:t>
            </w:r>
          </w:p>
          <w:p w:rsidR="00DC7841" w:rsidRDefault="00DC7841" w:rsidP="00DC7841">
            <w:pPr>
              <w:pStyle w:val="TableRow"/>
            </w:pPr>
            <w:r>
              <w:t>Drop in events were introduced last year. Of those who were invited to the Y7 and Y8 evening, there was 73% attendance.</w:t>
            </w:r>
          </w:p>
          <w:p w:rsidR="00DC7841" w:rsidRDefault="00DC7841" w:rsidP="00DC7841">
            <w:pPr>
              <w:pStyle w:val="TableRow"/>
            </w:pPr>
          </w:p>
          <w:p w:rsidR="00601FA5" w:rsidRPr="00987155" w:rsidRDefault="00601FA5" w:rsidP="00DC7841">
            <w:pPr>
              <w:pStyle w:val="TableRow"/>
            </w:pPr>
          </w:p>
        </w:tc>
      </w:tr>
      <w:tr w:rsidR="00601FA5" w:rsidRPr="00987155" w:rsidTr="00C95186">
        <w:trPr>
          <w:trHeight w:val="1264"/>
          <w:tblHeader/>
        </w:trPr>
        <w:tc>
          <w:tcPr>
            <w:tcW w:w="1985" w:type="dxa"/>
            <w:shd w:val="clear" w:color="auto" w:fill="auto"/>
          </w:tcPr>
          <w:p w:rsidR="00601FA5" w:rsidRDefault="00601FA5" w:rsidP="005F377A">
            <w:pPr>
              <w:pStyle w:val="TableRow"/>
            </w:pPr>
            <w:r>
              <w:t xml:space="preserve">Increase aspiration for </w:t>
            </w:r>
            <w:r w:rsidR="005F377A">
              <w:t>PP</w:t>
            </w:r>
            <w:r>
              <w:t xml:space="preserve"> students</w:t>
            </w:r>
          </w:p>
        </w:tc>
        <w:tc>
          <w:tcPr>
            <w:tcW w:w="2126" w:type="dxa"/>
            <w:shd w:val="clear" w:color="auto" w:fill="auto"/>
          </w:tcPr>
          <w:p w:rsidR="00601FA5" w:rsidRPr="00987155" w:rsidRDefault="00602B2C" w:rsidP="005F377A">
            <w:pPr>
              <w:pStyle w:val="TableRow"/>
            </w:pPr>
            <w:r>
              <w:t xml:space="preserve">Too many </w:t>
            </w:r>
            <w:r w:rsidR="005F377A">
              <w:t>PP</w:t>
            </w:r>
            <w:r>
              <w:t xml:space="preserve"> students do not aim high enough.</w:t>
            </w:r>
          </w:p>
        </w:tc>
        <w:tc>
          <w:tcPr>
            <w:tcW w:w="2079" w:type="dxa"/>
            <w:shd w:val="clear" w:color="auto" w:fill="auto"/>
          </w:tcPr>
          <w:p w:rsidR="00601FA5" w:rsidRPr="00987155" w:rsidRDefault="005F377A" w:rsidP="006C046F">
            <w:pPr>
              <w:pStyle w:val="TableRow"/>
            </w:pPr>
            <w:r>
              <w:t>PP</w:t>
            </w:r>
            <w:r w:rsidR="00C95186">
              <w:t xml:space="preserve"> to aim high.</w:t>
            </w:r>
          </w:p>
        </w:tc>
        <w:tc>
          <w:tcPr>
            <w:tcW w:w="2835" w:type="dxa"/>
            <w:shd w:val="clear" w:color="auto" w:fill="auto"/>
          </w:tcPr>
          <w:p w:rsidR="00601FA5" w:rsidRDefault="00602B2C" w:rsidP="006C046F">
            <w:pPr>
              <w:pStyle w:val="TableRow"/>
            </w:pPr>
            <w:r>
              <w:t xml:space="preserve">More </w:t>
            </w:r>
            <w:r w:rsidR="005F377A">
              <w:t>PP</w:t>
            </w:r>
            <w:r>
              <w:t xml:space="preserve"> going on to A levels, university and apprenticeships.</w:t>
            </w:r>
          </w:p>
          <w:p w:rsidR="00602B2C" w:rsidRPr="00987155" w:rsidRDefault="00602B2C" w:rsidP="006C046F">
            <w:pPr>
              <w:pStyle w:val="TableRow"/>
            </w:pPr>
          </w:p>
        </w:tc>
        <w:tc>
          <w:tcPr>
            <w:tcW w:w="1984" w:type="dxa"/>
            <w:shd w:val="clear" w:color="auto" w:fill="auto"/>
          </w:tcPr>
          <w:p w:rsidR="00601FA5" w:rsidRDefault="00601FA5" w:rsidP="006C046F">
            <w:pPr>
              <w:pStyle w:val="TableRow"/>
            </w:pPr>
            <w:r>
              <w:t xml:space="preserve">Lancaster university </w:t>
            </w:r>
            <w:r w:rsidR="00602B2C">
              <w:t>partnership.</w:t>
            </w:r>
          </w:p>
          <w:p w:rsidR="00601FA5" w:rsidRDefault="00601FA5" w:rsidP="006C046F">
            <w:pPr>
              <w:pStyle w:val="TableRow"/>
            </w:pPr>
            <w:r>
              <w:t>YMCA</w:t>
            </w:r>
            <w:r w:rsidR="00602B2C">
              <w:t xml:space="preserve"> partnership.</w:t>
            </w:r>
          </w:p>
          <w:p w:rsidR="00601FA5" w:rsidRDefault="00601FA5" w:rsidP="006C046F">
            <w:pPr>
              <w:pStyle w:val="TableRow"/>
            </w:pPr>
            <w:r>
              <w:t>Enhanced careers advice</w:t>
            </w:r>
            <w:r w:rsidR="00602B2C">
              <w:t>.</w:t>
            </w:r>
          </w:p>
          <w:p w:rsidR="00B66924" w:rsidRPr="00987155" w:rsidRDefault="00B66924" w:rsidP="006C046F">
            <w:pPr>
              <w:pStyle w:val="TableRow"/>
            </w:pPr>
            <w:proofErr w:type="spellStart"/>
            <w:r>
              <w:t>Hothersall</w:t>
            </w:r>
            <w:proofErr w:type="spellEnd"/>
            <w:r>
              <w:t xml:space="preserve"> Lodge weeken</w:t>
            </w:r>
            <w:r w:rsidR="00602B2C">
              <w:t>ds that target aspiration.</w:t>
            </w:r>
          </w:p>
        </w:tc>
        <w:tc>
          <w:tcPr>
            <w:tcW w:w="3468" w:type="dxa"/>
            <w:shd w:val="clear" w:color="auto" w:fill="auto"/>
          </w:tcPr>
          <w:p w:rsidR="00601FA5" w:rsidRPr="00987155" w:rsidRDefault="005F377A" w:rsidP="005F377A">
            <w:pPr>
              <w:pStyle w:val="TableRow"/>
            </w:pPr>
            <w:r>
              <w:t>2016 academic year – PP students in the sixth form are performing well.</w:t>
            </w:r>
          </w:p>
        </w:tc>
      </w:tr>
      <w:tr w:rsidR="00B66924" w:rsidRPr="00987155" w:rsidTr="00C95186">
        <w:trPr>
          <w:trHeight w:val="1264"/>
          <w:tblHeader/>
        </w:trPr>
        <w:tc>
          <w:tcPr>
            <w:tcW w:w="1985" w:type="dxa"/>
            <w:shd w:val="clear" w:color="auto" w:fill="auto"/>
          </w:tcPr>
          <w:p w:rsidR="00B66924" w:rsidRDefault="00B66924" w:rsidP="005F377A">
            <w:pPr>
              <w:pStyle w:val="TableRow"/>
            </w:pPr>
            <w:r>
              <w:t xml:space="preserve">Increase rate of progress of </w:t>
            </w:r>
            <w:r w:rsidR="005F377A">
              <w:t>PP</w:t>
            </w:r>
            <w:r>
              <w:t xml:space="preserve"> students </w:t>
            </w:r>
          </w:p>
        </w:tc>
        <w:tc>
          <w:tcPr>
            <w:tcW w:w="2126" w:type="dxa"/>
            <w:shd w:val="clear" w:color="auto" w:fill="auto"/>
          </w:tcPr>
          <w:p w:rsidR="00B66924" w:rsidRPr="00987155" w:rsidRDefault="005F377A" w:rsidP="007554EF">
            <w:pPr>
              <w:pStyle w:val="TableRow"/>
            </w:pPr>
            <w:r>
              <w:t>PP</w:t>
            </w:r>
            <w:r w:rsidR="00B2354E">
              <w:t xml:space="preserve"> </w:t>
            </w:r>
            <w:r w:rsidR="00B368A1">
              <w:t>not making as much progress as their non-</w:t>
            </w:r>
            <w:r w:rsidR="007554EF">
              <w:t>PP</w:t>
            </w:r>
            <w:r w:rsidR="00B368A1">
              <w:t xml:space="preserve"> peers.</w:t>
            </w:r>
          </w:p>
        </w:tc>
        <w:tc>
          <w:tcPr>
            <w:tcW w:w="2079" w:type="dxa"/>
            <w:shd w:val="clear" w:color="auto" w:fill="auto"/>
          </w:tcPr>
          <w:p w:rsidR="00B66924" w:rsidRPr="00987155" w:rsidRDefault="000332D0" w:rsidP="005F377A">
            <w:pPr>
              <w:pStyle w:val="TableRow"/>
            </w:pPr>
            <w:r>
              <w:t xml:space="preserve">The gap narrows. More </w:t>
            </w:r>
            <w:r w:rsidR="005F377A">
              <w:t>PP</w:t>
            </w:r>
            <w:r>
              <w:t xml:space="preserve"> make expected progress.</w:t>
            </w:r>
          </w:p>
        </w:tc>
        <w:tc>
          <w:tcPr>
            <w:tcW w:w="2835" w:type="dxa"/>
            <w:shd w:val="clear" w:color="auto" w:fill="auto"/>
          </w:tcPr>
          <w:p w:rsidR="00B66924" w:rsidRPr="00987155" w:rsidRDefault="000332D0" w:rsidP="006C046F">
            <w:pPr>
              <w:pStyle w:val="TableRow"/>
            </w:pPr>
            <w:r>
              <w:t>The gap narrows.</w:t>
            </w:r>
          </w:p>
        </w:tc>
        <w:tc>
          <w:tcPr>
            <w:tcW w:w="1984" w:type="dxa"/>
            <w:shd w:val="clear" w:color="auto" w:fill="auto"/>
          </w:tcPr>
          <w:p w:rsidR="00B66924" w:rsidRDefault="00B66924" w:rsidP="006C046F">
            <w:pPr>
              <w:pStyle w:val="TableRow"/>
            </w:pPr>
            <w:r>
              <w:t>PTE/PTM tests and ensuing interventions</w:t>
            </w:r>
          </w:p>
          <w:p w:rsidR="00B66924" w:rsidRDefault="00B66924" w:rsidP="006C046F">
            <w:pPr>
              <w:pStyle w:val="TableRow"/>
            </w:pPr>
            <w:r>
              <w:t>Summer school to help increase levels of literacy and numeracy</w:t>
            </w:r>
          </w:p>
          <w:p w:rsidR="00B66924" w:rsidRDefault="00B66924" w:rsidP="006C046F">
            <w:pPr>
              <w:pStyle w:val="TableRow"/>
            </w:pPr>
            <w:proofErr w:type="spellStart"/>
            <w:r>
              <w:t>Lexia</w:t>
            </w:r>
            <w:proofErr w:type="spellEnd"/>
            <w:r>
              <w:t xml:space="preserve"> literacy programme</w:t>
            </w:r>
          </w:p>
          <w:p w:rsidR="00B66924" w:rsidRDefault="00B66924" w:rsidP="006C046F">
            <w:pPr>
              <w:pStyle w:val="TableRow"/>
            </w:pPr>
            <w:proofErr w:type="spellStart"/>
            <w:r>
              <w:t>Hothersall</w:t>
            </w:r>
            <w:proofErr w:type="spellEnd"/>
            <w:r>
              <w:t xml:space="preserve"> Lodge weekends that include literacy and numeracy workshops</w:t>
            </w:r>
          </w:p>
          <w:p w:rsidR="002313EE" w:rsidRDefault="002313EE" w:rsidP="002313EE">
            <w:pPr>
              <w:pStyle w:val="TableRow"/>
              <w:ind w:left="0"/>
            </w:pPr>
            <w:r>
              <w:t xml:space="preserve">Outside </w:t>
            </w:r>
            <w:r w:rsidR="00A76BB3">
              <w:t>agencies</w:t>
            </w:r>
            <w:r>
              <w:t xml:space="preserve"> working directly with PP students during intervention week.</w:t>
            </w:r>
          </w:p>
          <w:p w:rsidR="00B66924" w:rsidRDefault="00B66924" w:rsidP="006C046F">
            <w:pPr>
              <w:pStyle w:val="TableRow"/>
            </w:pPr>
          </w:p>
        </w:tc>
        <w:tc>
          <w:tcPr>
            <w:tcW w:w="3468" w:type="dxa"/>
            <w:shd w:val="clear" w:color="auto" w:fill="auto"/>
          </w:tcPr>
          <w:p w:rsidR="00B66924" w:rsidRDefault="00B368A1" w:rsidP="006C046F">
            <w:pPr>
              <w:pStyle w:val="TableRow"/>
            </w:pPr>
            <w:r>
              <w:t xml:space="preserve">2015 year 11 results showed a narrowing of the gap. </w:t>
            </w:r>
          </w:p>
          <w:p w:rsidR="000332D0" w:rsidRDefault="000332D0" w:rsidP="006C046F">
            <w:pPr>
              <w:pStyle w:val="TableRow"/>
            </w:pPr>
          </w:p>
          <w:p w:rsidR="000332D0" w:rsidRDefault="000332D0" w:rsidP="006C046F">
            <w:pPr>
              <w:pStyle w:val="TableRow"/>
            </w:pPr>
            <w:r>
              <w:t>Other year groups show variability. During the academic year 2014-2015:</w:t>
            </w:r>
          </w:p>
          <w:p w:rsidR="000332D0" w:rsidRDefault="000332D0" w:rsidP="006C046F">
            <w:pPr>
              <w:pStyle w:val="TableRow"/>
            </w:pPr>
            <w:r>
              <w:t>Y7 started with a 23% gap in 5 level 5s including ME. This narrowed to 21% by the end of the year.</w:t>
            </w:r>
          </w:p>
          <w:p w:rsidR="000332D0" w:rsidRDefault="006649BC" w:rsidP="006C046F">
            <w:pPr>
              <w:pStyle w:val="TableRow"/>
            </w:pPr>
            <w:r>
              <w:t>Y8 started the year with a 14% gap in 5 level 5s including ME. This had narrowed to 9% by the end of the year.</w:t>
            </w:r>
          </w:p>
          <w:p w:rsidR="00C04EBC" w:rsidRDefault="00C04EBC" w:rsidP="006C046F">
            <w:pPr>
              <w:pStyle w:val="TableRow"/>
            </w:pPr>
            <w:r>
              <w:t>Y10 started the year with a 31% gap in 5A*-C including ME. This narrowed to 26% by the end of the year.</w:t>
            </w:r>
          </w:p>
          <w:p w:rsidR="00AD524E" w:rsidRDefault="00AD524E" w:rsidP="006C046F">
            <w:pPr>
              <w:pStyle w:val="TableRow"/>
            </w:pPr>
          </w:p>
          <w:p w:rsidR="00C04EBC" w:rsidRPr="00987155" w:rsidRDefault="00C04EBC" w:rsidP="006C046F">
            <w:pPr>
              <w:pStyle w:val="TableRow"/>
            </w:pPr>
          </w:p>
        </w:tc>
      </w:tr>
    </w:tbl>
    <w:p w:rsidR="003B1ECB" w:rsidRDefault="00783377"/>
    <w:sectPr w:rsidR="003B1ECB" w:rsidSect="0068393D">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3D"/>
    <w:rsid w:val="00030D58"/>
    <w:rsid w:val="000332D0"/>
    <w:rsid w:val="00087009"/>
    <w:rsid w:val="000B64ED"/>
    <w:rsid w:val="00105025"/>
    <w:rsid w:val="0014187A"/>
    <w:rsid w:val="00196751"/>
    <w:rsid w:val="002313EE"/>
    <w:rsid w:val="00260D6E"/>
    <w:rsid w:val="002965C8"/>
    <w:rsid w:val="00310DB5"/>
    <w:rsid w:val="00334AC3"/>
    <w:rsid w:val="00341AD9"/>
    <w:rsid w:val="00362028"/>
    <w:rsid w:val="004214B3"/>
    <w:rsid w:val="005018F3"/>
    <w:rsid w:val="00552D47"/>
    <w:rsid w:val="005F377A"/>
    <w:rsid w:val="00601FA5"/>
    <w:rsid w:val="00602B2C"/>
    <w:rsid w:val="006649BC"/>
    <w:rsid w:val="0068393D"/>
    <w:rsid w:val="00686134"/>
    <w:rsid w:val="006E7AD6"/>
    <w:rsid w:val="00715DF5"/>
    <w:rsid w:val="007554EF"/>
    <w:rsid w:val="007E0B8E"/>
    <w:rsid w:val="00980CEF"/>
    <w:rsid w:val="009C721F"/>
    <w:rsid w:val="009D3939"/>
    <w:rsid w:val="00A76BB3"/>
    <w:rsid w:val="00AD524E"/>
    <w:rsid w:val="00AE7BD2"/>
    <w:rsid w:val="00B2354E"/>
    <w:rsid w:val="00B368A1"/>
    <w:rsid w:val="00B66924"/>
    <w:rsid w:val="00BA547E"/>
    <w:rsid w:val="00C04EBC"/>
    <w:rsid w:val="00C3106E"/>
    <w:rsid w:val="00C3373A"/>
    <w:rsid w:val="00C416C2"/>
    <w:rsid w:val="00C93C9F"/>
    <w:rsid w:val="00C95186"/>
    <w:rsid w:val="00D269D2"/>
    <w:rsid w:val="00D30AA2"/>
    <w:rsid w:val="00D9606D"/>
    <w:rsid w:val="00DC7841"/>
    <w:rsid w:val="00E3248F"/>
    <w:rsid w:val="00EA7709"/>
    <w:rsid w:val="00EC20A9"/>
    <w:rsid w:val="00F27385"/>
    <w:rsid w:val="00F9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FCC11-23A6-4918-83D2-7A00FF22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8393D"/>
    <w:pPr>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qFormat/>
    <w:rsid w:val="0068393D"/>
    <w:pPr>
      <w:pageBreakBefore/>
      <w:spacing w:line="240" w:lineRule="auto"/>
      <w:outlineLvl w:val="0"/>
    </w:pPr>
    <w:rPr>
      <w:b/>
      <w:color w:val="104F75"/>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93D"/>
    <w:rPr>
      <w:rFonts w:ascii="Arial" w:eastAsia="Times New Roman" w:hAnsi="Arial" w:cs="Times New Roman"/>
      <w:b/>
      <w:color w:val="104F75"/>
      <w:sz w:val="36"/>
      <w:szCs w:val="24"/>
      <w:lang w:val="x-none" w:eastAsia="x-none"/>
    </w:rPr>
  </w:style>
  <w:style w:type="paragraph" w:customStyle="1" w:styleId="TableHeader">
    <w:name w:val="TableHeader"/>
    <w:qFormat/>
    <w:rsid w:val="0068393D"/>
    <w:pPr>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link w:val="TableRowChar"/>
    <w:qFormat/>
    <w:rsid w:val="0068393D"/>
    <w:pPr>
      <w:spacing w:before="60" w:after="60" w:line="240" w:lineRule="auto"/>
      <w:ind w:left="57" w:right="57"/>
    </w:pPr>
    <w:rPr>
      <w:rFonts w:ascii="Arial" w:eastAsia="Times New Roman" w:hAnsi="Arial" w:cs="Times New Roman"/>
      <w:color w:val="0D0D0D"/>
      <w:sz w:val="24"/>
      <w:szCs w:val="24"/>
      <w:lang w:eastAsia="en-GB"/>
    </w:rPr>
  </w:style>
  <w:style w:type="character" w:customStyle="1" w:styleId="TableRowChar">
    <w:name w:val="TableRow Char"/>
    <w:link w:val="TableRow"/>
    <w:rsid w:val="0068393D"/>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Rowan Learning Trust</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Halford R</dc:creator>
  <cp:lastModifiedBy>Ms E Hilton-Peet</cp:lastModifiedBy>
  <cp:revision>2</cp:revision>
  <dcterms:created xsi:type="dcterms:W3CDTF">2016-02-09T16:24:00Z</dcterms:created>
  <dcterms:modified xsi:type="dcterms:W3CDTF">2016-02-09T16:24:00Z</dcterms:modified>
</cp:coreProperties>
</file>