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Default="00CC3664" w:rsidP="00CC3664"/>
    <w:tbl>
      <w:tblPr>
        <w:tblStyle w:val="TableGrid"/>
        <w:tblW w:w="5000" w:type="pct"/>
        <w:tblLook w:val="04A0" w:firstRow="1" w:lastRow="0" w:firstColumn="1" w:lastColumn="0" w:noHBand="0" w:noVBand="1"/>
      </w:tblPr>
      <w:tblGrid>
        <w:gridCol w:w="3397"/>
        <w:gridCol w:w="4112"/>
        <w:gridCol w:w="3853"/>
        <w:gridCol w:w="4026"/>
      </w:tblGrid>
      <w:tr w:rsidR="004805F9" w:rsidRPr="003017B9" w:rsidTr="004805F9">
        <w:trPr>
          <w:tblHeader/>
        </w:trPr>
        <w:tc>
          <w:tcPr>
            <w:tcW w:w="1104" w:type="pct"/>
          </w:tcPr>
          <w:p w:rsidR="004805F9" w:rsidRPr="003017B9" w:rsidRDefault="004805F9" w:rsidP="00F8545B">
            <w:pPr>
              <w:jc w:val="center"/>
              <w:rPr>
                <w:sz w:val="32"/>
              </w:rPr>
            </w:pPr>
          </w:p>
        </w:tc>
        <w:tc>
          <w:tcPr>
            <w:tcW w:w="1336" w:type="pct"/>
          </w:tcPr>
          <w:p w:rsidR="004805F9" w:rsidRPr="003017B9" w:rsidRDefault="004805F9" w:rsidP="00F8545B">
            <w:pPr>
              <w:jc w:val="center"/>
              <w:rPr>
                <w:b/>
                <w:u w:val="single"/>
              </w:rPr>
            </w:pPr>
            <w:r w:rsidRPr="003017B9">
              <w:rPr>
                <w:b/>
                <w:u w:val="single"/>
              </w:rPr>
              <w:t>Topic</w:t>
            </w:r>
          </w:p>
        </w:tc>
        <w:tc>
          <w:tcPr>
            <w:tcW w:w="1252" w:type="pct"/>
          </w:tcPr>
          <w:p w:rsidR="004805F9" w:rsidRPr="003017B9" w:rsidRDefault="004805F9" w:rsidP="00F8545B">
            <w:pPr>
              <w:jc w:val="center"/>
              <w:rPr>
                <w:b/>
                <w:u w:val="single"/>
              </w:rPr>
            </w:pPr>
            <w:r>
              <w:rPr>
                <w:b/>
                <w:u w:val="single"/>
              </w:rPr>
              <w:t>Key concept</w:t>
            </w:r>
            <w:r w:rsidRPr="003017B9">
              <w:rPr>
                <w:b/>
                <w:u w:val="single"/>
              </w:rPr>
              <w:t xml:space="preserve"> – </w:t>
            </w:r>
            <w:r w:rsidRPr="003017B9">
              <w:rPr>
                <w:b/>
              </w:rPr>
              <w:t>what do I want the students to learn from this unit?</w:t>
            </w:r>
          </w:p>
        </w:tc>
        <w:tc>
          <w:tcPr>
            <w:tcW w:w="1308" w:type="pct"/>
          </w:tcPr>
          <w:p w:rsidR="004805F9" w:rsidRPr="003017B9" w:rsidRDefault="004805F9" w:rsidP="00F8545B">
            <w:pPr>
              <w:jc w:val="center"/>
              <w:rPr>
                <w:b/>
                <w:u w:val="single"/>
              </w:rPr>
            </w:pPr>
            <w:r>
              <w:rPr>
                <w:b/>
                <w:u w:val="single"/>
              </w:rPr>
              <w:t>What knowledge will they acquire?</w:t>
            </w:r>
          </w:p>
        </w:tc>
      </w:tr>
      <w:tr w:rsidR="004805F9" w:rsidRPr="003017B9" w:rsidTr="004805F9">
        <w:tc>
          <w:tcPr>
            <w:tcW w:w="5000" w:type="pct"/>
            <w:gridSpan w:val="4"/>
            <w:shd w:val="clear" w:color="auto" w:fill="FFF2CC" w:themeFill="accent4" w:themeFillTint="33"/>
          </w:tcPr>
          <w:p w:rsidR="004805F9" w:rsidRPr="003017B9" w:rsidRDefault="004805F9" w:rsidP="005861F6">
            <w:pPr>
              <w:tabs>
                <w:tab w:val="left" w:pos="1920"/>
                <w:tab w:val="center" w:pos="7662"/>
              </w:tabs>
              <w:rPr>
                <w:b/>
                <w:sz w:val="28"/>
              </w:rPr>
            </w:pPr>
            <w:r w:rsidRPr="003017B9">
              <w:rPr>
                <w:b/>
                <w:sz w:val="28"/>
              </w:rPr>
              <w:tab/>
            </w:r>
            <w:r w:rsidRPr="003017B9">
              <w:rPr>
                <w:b/>
                <w:sz w:val="28"/>
              </w:rPr>
              <w:tab/>
              <w:t xml:space="preserve">YEAR </w:t>
            </w:r>
            <w:r>
              <w:rPr>
                <w:b/>
                <w:sz w:val="28"/>
              </w:rPr>
              <w:t>9</w:t>
            </w:r>
            <w:r w:rsidRPr="003017B9">
              <w:rPr>
                <w:b/>
                <w:sz w:val="28"/>
              </w:rPr>
              <w:t xml:space="preserve"> </w:t>
            </w:r>
            <w:r>
              <w:rPr>
                <w:b/>
                <w:sz w:val="28"/>
              </w:rPr>
              <w:t>– Computer Science</w:t>
            </w:r>
          </w:p>
        </w:tc>
      </w:tr>
      <w:tr w:rsidR="004805F9" w:rsidRPr="003017B9" w:rsidTr="004805F9">
        <w:tc>
          <w:tcPr>
            <w:tcW w:w="1104" w:type="pct"/>
            <w:shd w:val="clear" w:color="auto" w:fill="FFF2CC" w:themeFill="accent4" w:themeFillTint="33"/>
          </w:tcPr>
          <w:p w:rsidR="004805F9" w:rsidRPr="003E5DAF" w:rsidRDefault="004805F9" w:rsidP="00F8545B">
            <w:pPr>
              <w:rPr>
                <w:b/>
                <w:sz w:val="20"/>
              </w:rPr>
            </w:pPr>
            <w:r w:rsidRPr="003E5DAF">
              <w:rPr>
                <w:b/>
                <w:sz w:val="20"/>
              </w:rPr>
              <w:t>Autumn 1</w:t>
            </w:r>
          </w:p>
        </w:tc>
        <w:tc>
          <w:tcPr>
            <w:tcW w:w="1336" w:type="pct"/>
            <w:shd w:val="clear" w:color="auto" w:fill="FFF2CC" w:themeFill="accent4" w:themeFillTint="33"/>
          </w:tcPr>
          <w:p w:rsidR="004805F9" w:rsidRPr="003017B9" w:rsidRDefault="004805F9" w:rsidP="00F8545B">
            <w:r>
              <w:t>2.1 Algorithms &amp; 2.2 programming techniques</w:t>
            </w:r>
          </w:p>
        </w:tc>
        <w:tc>
          <w:tcPr>
            <w:tcW w:w="1252" w:type="pct"/>
            <w:shd w:val="clear" w:color="auto" w:fill="FFF2CC" w:themeFill="accent4" w:themeFillTint="33"/>
          </w:tcPr>
          <w:p w:rsidR="004805F9" w:rsidRPr="00C00A42" w:rsidRDefault="004805F9" w:rsidP="00C34106">
            <w:pPr>
              <w:rPr>
                <w:b/>
              </w:rPr>
            </w:pPr>
            <w:r w:rsidRPr="00C00A42">
              <w:rPr>
                <w:b/>
              </w:rPr>
              <w:t>Python skills - programming input, outputs, variables, selection, iteration, arrays, operators, sub-programs</w:t>
            </w:r>
          </w:p>
        </w:tc>
        <w:tc>
          <w:tcPr>
            <w:tcW w:w="1308" w:type="pct"/>
            <w:shd w:val="clear" w:color="auto" w:fill="FFF2CC" w:themeFill="accent4" w:themeFillTint="33"/>
          </w:tcPr>
          <w:p w:rsidR="004805F9" w:rsidRPr="00C00A42" w:rsidRDefault="004805F9" w:rsidP="00C34106">
            <w:pPr>
              <w:rPr>
                <w:b/>
              </w:rPr>
            </w:pPr>
            <w:r w:rsidRPr="00C00A42">
              <w:rPr>
                <w:b/>
              </w:rPr>
              <w:t>Knowledge - problem solving and computational thinking to achieve desired outcomes using Python programming</w:t>
            </w:r>
          </w:p>
        </w:tc>
      </w:tr>
      <w:tr w:rsidR="004805F9" w:rsidRPr="003017B9" w:rsidTr="004805F9">
        <w:tc>
          <w:tcPr>
            <w:tcW w:w="1104" w:type="pct"/>
            <w:shd w:val="clear" w:color="auto" w:fill="FFF2CC" w:themeFill="accent4" w:themeFillTint="33"/>
          </w:tcPr>
          <w:p w:rsidR="004805F9" w:rsidRPr="003E5DAF" w:rsidRDefault="004805F9" w:rsidP="00F8545B">
            <w:pPr>
              <w:rPr>
                <w:b/>
                <w:sz w:val="20"/>
              </w:rPr>
            </w:pPr>
            <w:r w:rsidRPr="003E5DAF">
              <w:rPr>
                <w:b/>
                <w:sz w:val="20"/>
              </w:rPr>
              <w:t>Autumn 2</w:t>
            </w:r>
          </w:p>
        </w:tc>
        <w:tc>
          <w:tcPr>
            <w:tcW w:w="1336" w:type="pct"/>
            <w:shd w:val="clear" w:color="auto" w:fill="FFF2CC" w:themeFill="accent4" w:themeFillTint="33"/>
          </w:tcPr>
          <w:p w:rsidR="004805F9" w:rsidRDefault="004805F9" w:rsidP="00F8545B">
            <w:r>
              <w:t>1.1 systems architecture and re-visit 2.1 and 2.2</w:t>
            </w:r>
          </w:p>
        </w:tc>
        <w:tc>
          <w:tcPr>
            <w:tcW w:w="1252" w:type="pct"/>
            <w:shd w:val="clear" w:color="auto" w:fill="FFF2CC" w:themeFill="accent4" w:themeFillTint="33"/>
          </w:tcPr>
          <w:p w:rsidR="004805F9" w:rsidRPr="00C00A42" w:rsidRDefault="004805F9" w:rsidP="00C34106">
            <w:pPr>
              <w:rPr>
                <w:b/>
              </w:rPr>
            </w:pPr>
            <w:r>
              <w:rPr>
                <w:b/>
              </w:rPr>
              <w:t>About the CPU – purpose and components, functions and performance factors</w:t>
            </w:r>
          </w:p>
        </w:tc>
        <w:tc>
          <w:tcPr>
            <w:tcW w:w="1308" w:type="pct"/>
            <w:shd w:val="clear" w:color="auto" w:fill="FFF2CC" w:themeFill="accent4" w:themeFillTint="33"/>
          </w:tcPr>
          <w:p w:rsidR="004805F9" w:rsidRPr="00C00A42" w:rsidRDefault="004805F9" w:rsidP="00C34106">
            <w:pPr>
              <w:rPr>
                <w:b/>
              </w:rPr>
            </w:pPr>
            <w:r>
              <w:rPr>
                <w:b/>
              </w:rPr>
              <w:t>How the CPU works and the principles behind Von Neumann architecture</w:t>
            </w:r>
          </w:p>
        </w:tc>
      </w:tr>
      <w:tr w:rsidR="004805F9" w:rsidRPr="003017B9" w:rsidTr="004805F9">
        <w:tc>
          <w:tcPr>
            <w:tcW w:w="1104" w:type="pct"/>
            <w:shd w:val="clear" w:color="auto" w:fill="FFF2CC" w:themeFill="accent4" w:themeFillTint="33"/>
          </w:tcPr>
          <w:p w:rsidR="004805F9" w:rsidRDefault="004805F9" w:rsidP="00F8545B">
            <w:pPr>
              <w:rPr>
                <w:b/>
                <w:sz w:val="20"/>
              </w:rPr>
            </w:pPr>
          </w:p>
          <w:p w:rsidR="004805F9" w:rsidRPr="003E5DAF" w:rsidRDefault="004805F9" w:rsidP="00F8545B">
            <w:pPr>
              <w:rPr>
                <w:b/>
                <w:sz w:val="20"/>
              </w:rPr>
            </w:pPr>
          </w:p>
        </w:tc>
        <w:tc>
          <w:tcPr>
            <w:tcW w:w="1336" w:type="pct"/>
            <w:shd w:val="clear" w:color="auto" w:fill="FFF2CC" w:themeFill="accent4" w:themeFillTint="33"/>
          </w:tcPr>
          <w:p w:rsidR="004805F9" w:rsidRDefault="004805F9" w:rsidP="00F8545B"/>
        </w:tc>
        <w:tc>
          <w:tcPr>
            <w:tcW w:w="1252" w:type="pct"/>
            <w:shd w:val="clear" w:color="auto" w:fill="FFF2CC" w:themeFill="accent4" w:themeFillTint="33"/>
          </w:tcPr>
          <w:p w:rsidR="004805F9" w:rsidRDefault="004805F9" w:rsidP="00C34106">
            <w:pPr>
              <w:rPr>
                <w:b/>
              </w:rPr>
            </w:pPr>
          </w:p>
        </w:tc>
        <w:tc>
          <w:tcPr>
            <w:tcW w:w="1308" w:type="pct"/>
            <w:shd w:val="clear" w:color="auto" w:fill="FFF2CC" w:themeFill="accent4" w:themeFillTint="33"/>
          </w:tcPr>
          <w:p w:rsidR="004805F9" w:rsidRDefault="004805F9" w:rsidP="00C34106">
            <w:pPr>
              <w:rPr>
                <w:b/>
              </w:rPr>
            </w:pPr>
          </w:p>
        </w:tc>
      </w:tr>
      <w:tr w:rsidR="004805F9" w:rsidRPr="003017B9" w:rsidTr="004805F9">
        <w:tc>
          <w:tcPr>
            <w:tcW w:w="1104" w:type="pct"/>
            <w:shd w:val="clear" w:color="auto" w:fill="FFF2CC" w:themeFill="accent4" w:themeFillTint="33"/>
          </w:tcPr>
          <w:p w:rsidR="004805F9" w:rsidRPr="003E5DAF" w:rsidRDefault="004805F9" w:rsidP="00047302">
            <w:pPr>
              <w:rPr>
                <w:b/>
                <w:sz w:val="20"/>
              </w:rPr>
            </w:pPr>
            <w:r>
              <w:rPr>
                <w:b/>
                <w:sz w:val="20"/>
              </w:rPr>
              <w:t>Spring 1</w:t>
            </w:r>
          </w:p>
        </w:tc>
        <w:tc>
          <w:tcPr>
            <w:tcW w:w="1336" w:type="pct"/>
            <w:shd w:val="clear" w:color="auto" w:fill="FFF2CC" w:themeFill="accent4" w:themeFillTint="33"/>
          </w:tcPr>
          <w:p w:rsidR="004805F9" w:rsidRDefault="004805F9" w:rsidP="00047302">
            <w:r>
              <w:t>2.3 Producing Robust programs</w:t>
            </w:r>
          </w:p>
        </w:tc>
        <w:tc>
          <w:tcPr>
            <w:tcW w:w="1252" w:type="pct"/>
            <w:shd w:val="clear" w:color="auto" w:fill="FFF2CC" w:themeFill="accent4" w:themeFillTint="33"/>
          </w:tcPr>
          <w:p w:rsidR="004805F9" w:rsidRDefault="004805F9" w:rsidP="00047302">
            <w:pPr>
              <w:rPr>
                <w:b/>
              </w:rPr>
            </w:pPr>
            <w:r>
              <w:rPr>
                <w:b/>
              </w:rPr>
              <w:t>How to program defensive design considerations, and explore the purpose and types of testing when writing programs</w:t>
            </w:r>
          </w:p>
        </w:tc>
        <w:tc>
          <w:tcPr>
            <w:tcW w:w="1308" w:type="pct"/>
            <w:shd w:val="clear" w:color="auto" w:fill="FFF2CC" w:themeFill="accent4" w:themeFillTint="33"/>
          </w:tcPr>
          <w:p w:rsidR="004805F9" w:rsidRDefault="004805F9" w:rsidP="00047302">
            <w:pPr>
              <w:rPr>
                <w:b/>
              </w:rPr>
            </w:pPr>
            <w:r>
              <w:rPr>
                <w:b/>
              </w:rPr>
              <w:t>Defensive design considerations, maintainability purpose and types of testing, identifying syntax and logic errors</w:t>
            </w:r>
          </w:p>
        </w:tc>
      </w:tr>
      <w:tr w:rsidR="004805F9" w:rsidRPr="003017B9" w:rsidTr="004805F9">
        <w:tc>
          <w:tcPr>
            <w:tcW w:w="1104" w:type="pct"/>
            <w:shd w:val="clear" w:color="auto" w:fill="FFF2CC" w:themeFill="accent4" w:themeFillTint="33"/>
          </w:tcPr>
          <w:p w:rsidR="004805F9" w:rsidRDefault="004805F9" w:rsidP="004C3D9B">
            <w:pPr>
              <w:rPr>
                <w:b/>
                <w:sz w:val="20"/>
              </w:rPr>
            </w:pPr>
            <w:r>
              <w:rPr>
                <w:b/>
                <w:sz w:val="20"/>
              </w:rPr>
              <w:t>Spring 2</w:t>
            </w:r>
          </w:p>
        </w:tc>
        <w:tc>
          <w:tcPr>
            <w:tcW w:w="1336" w:type="pct"/>
            <w:shd w:val="clear" w:color="auto" w:fill="FFF2CC" w:themeFill="accent4" w:themeFillTint="33"/>
          </w:tcPr>
          <w:p w:rsidR="004805F9" w:rsidRDefault="004805F9" w:rsidP="004C3D9B">
            <w:r>
              <w:t>1.2 Memory and 1.3 storage</w:t>
            </w:r>
          </w:p>
        </w:tc>
        <w:tc>
          <w:tcPr>
            <w:tcW w:w="1252" w:type="pct"/>
            <w:shd w:val="clear" w:color="auto" w:fill="FFF2CC" w:themeFill="accent4" w:themeFillTint="33"/>
          </w:tcPr>
          <w:p w:rsidR="004805F9" w:rsidRDefault="004805F9" w:rsidP="004C3D9B">
            <w:pPr>
              <w:rPr>
                <w:b/>
              </w:rPr>
            </w:pPr>
            <w:r>
              <w:rPr>
                <w:b/>
              </w:rPr>
              <w:t>How the CPU uses memory and different storage types</w:t>
            </w:r>
          </w:p>
        </w:tc>
        <w:tc>
          <w:tcPr>
            <w:tcW w:w="1308" w:type="pct"/>
            <w:shd w:val="clear" w:color="auto" w:fill="FFF2CC" w:themeFill="accent4" w:themeFillTint="33"/>
          </w:tcPr>
          <w:p w:rsidR="004805F9" w:rsidRDefault="004805F9" w:rsidP="004C3D9B">
            <w:pPr>
              <w:rPr>
                <w:b/>
              </w:rPr>
            </w:pPr>
            <w:r>
              <w:rPr>
                <w:b/>
              </w:rPr>
              <w:t>Difference in RAM and ROM, virtual and flash memory, secondary storage and capacity, types of storage and characteristics</w:t>
            </w:r>
          </w:p>
        </w:tc>
      </w:tr>
      <w:tr w:rsidR="004805F9" w:rsidRPr="003017B9" w:rsidTr="004805F9">
        <w:tc>
          <w:tcPr>
            <w:tcW w:w="1104" w:type="pct"/>
            <w:shd w:val="clear" w:color="auto" w:fill="FFF2CC" w:themeFill="accent4" w:themeFillTint="33"/>
          </w:tcPr>
          <w:p w:rsidR="004805F9" w:rsidRDefault="004805F9" w:rsidP="004C3D9B">
            <w:pPr>
              <w:rPr>
                <w:b/>
                <w:sz w:val="20"/>
              </w:rPr>
            </w:pPr>
            <w:r>
              <w:rPr>
                <w:b/>
                <w:sz w:val="20"/>
              </w:rPr>
              <w:t>Summer 1</w:t>
            </w:r>
          </w:p>
        </w:tc>
        <w:tc>
          <w:tcPr>
            <w:tcW w:w="1336" w:type="pct"/>
            <w:shd w:val="clear" w:color="auto" w:fill="FFF2CC" w:themeFill="accent4" w:themeFillTint="33"/>
          </w:tcPr>
          <w:p w:rsidR="004805F9" w:rsidRDefault="004805F9" w:rsidP="004C3D9B">
            <w:r>
              <w:t>2.4 Computational logic</w:t>
            </w:r>
          </w:p>
        </w:tc>
        <w:tc>
          <w:tcPr>
            <w:tcW w:w="1252" w:type="pct"/>
            <w:shd w:val="clear" w:color="auto" w:fill="FFF2CC" w:themeFill="accent4" w:themeFillTint="33"/>
          </w:tcPr>
          <w:p w:rsidR="004805F9" w:rsidRDefault="004805F9" w:rsidP="004C3D9B">
            <w:pPr>
              <w:rPr>
                <w:b/>
              </w:rPr>
            </w:pPr>
            <w:r>
              <w:rPr>
                <w:b/>
              </w:rPr>
              <w:t>How logic and comparison operators can be used to develop effective programs</w:t>
            </w:r>
          </w:p>
        </w:tc>
        <w:tc>
          <w:tcPr>
            <w:tcW w:w="1308" w:type="pct"/>
            <w:shd w:val="clear" w:color="auto" w:fill="FFF2CC" w:themeFill="accent4" w:themeFillTint="33"/>
          </w:tcPr>
          <w:p w:rsidR="004805F9" w:rsidRDefault="004805F9" w:rsidP="004C3D9B">
            <w:pPr>
              <w:rPr>
                <w:b/>
              </w:rPr>
            </w:pPr>
            <w:r>
              <w:rPr>
                <w:b/>
              </w:rPr>
              <w:t>Data in binary form, Boolean operators, truth tables, logic operators, computer-related maths</w:t>
            </w:r>
          </w:p>
        </w:tc>
      </w:tr>
      <w:tr w:rsidR="004805F9" w:rsidRPr="003017B9" w:rsidTr="004805F9">
        <w:tc>
          <w:tcPr>
            <w:tcW w:w="1104" w:type="pct"/>
            <w:shd w:val="clear" w:color="auto" w:fill="FFF2CC" w:themeFill="accent4" w:themeFillTint="33"/>
          </w:tcPr>
          <w:p w:rsidR="004805F9" w:rsidRDefault="004805F9" w:rsidP="004C3D9B">
            <w:pPr>
              <w:rPr>
                <w:b/>
                <w:sz w:val="20"/>
              </w:rPr>
            </w:pPr>
            <w:r>
              <w:rPr>
                <w:b/>
                <w:sz w:val="20"/>
              </w:rPr>
              <w:t>Summer 2</w:t>
            </w:r>
          </w:p>
        </w:tc>
        <w:tc>
          <w:tcPr>
            <w:tcW w:w="3896" w:type="pct"/>
            <w:gridSpan w:val="3"/>
            <w:shd w:val="clear" w:color="auto" w:fill="FFF2CC" w:themeFill="accent4" w:themeFillTint="33"/>
          </w:tcPr>
          <w:p w:rsidR="004805F9" w:rsidRDefault="004805F9" w:rsidP="004C3D9B">
            <w:r>
              <w:t xml:space="preserve">NEA replacement </w:t>
            </w:r>
            <w:r>
              <w:rPr>
                <w:b/>
              </w:rPr>
              <w:t>We know that the current NEA element of the course will be assessed by external assessment however we do not yet know how this will look, therefore this term will be focused on preparing learners for this element of the examination and allow flexibility of delivery moving into year 10</w:t>
            </w:r>
          </w:p>
        </w:tc>
      </w:tr>
    </w:tbl>
    <w:p w:rsidR="00375832" w:rsidRDefault="00375832">
      <w:bookmarkStart w:id="0" w:name="_GoBack"/>
      <w:bookmarkEnd w:id="0"/>
    </w:p>
    <w:sectPr w:rsidR="00375832"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121DC0"/>
    <w:multiLevelType w:val="hybridMultilevel"/>
    <w:tmpl w:val="0EF40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47302"/>
    <w:rsid w:val="00103520"/>
    <w:rsid w:val="00375832"/>
    <w:rsid w:val="003E5DAF"/>
    <w:rsid w:val="00473917"/>
    <w:rsid w:val="004805F9"/>
    <w:rsid w:val="004850CC"/>
    <w:rsid w:val="004C3D9B"/>
    <w:rsid w:val="00564DC8"/>
    <w:rsid w:val="005861F6"/>
    <w:rsid w:val="008B629B"/>
    <w:rsid w:val="009216C5"/>
    <w:rsid w:val="00935DFA"/>
    <w:rsid w:val="00953C99"/>
    <w:rsid w:val="00995FD9"/>
    <w:rsid w:val="00B40512"/>
    <w:rsid w:val="00B60C50"/>
    <w:rsid w:val="00C00A42"/>
    <w:rsid w:val="00C34106"/>
    <w:rsid w:val="00CB77A2"/>
    <w:rsid w:val="00CC3664"/>
    <w:rsid w:val="00E43386"/>
    <w:rsid w:val="00F9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00770">
      <w:bodyDiv w:val="1"/>
      <w:marLeft w:val="0"/>
      <w:marRight w:val="0"/>
      <w:marTop w:val="0"/>
      <w:marBottom w:val="0"/>
      <w:divBdr>
        <w:top w:val="none" w:sz="0" w:space="0" w:color="auto"/>
        <w:left w:val="none" w:sz="0" w:space="0" w:color="auto"/>
        <w:bottom w:val="none" w:sz="0" w:space="0" w:color="auto"/>
        <w:right w:val="none" w:sz="0" w:space="0" w:color="auto"/>
      </w:divBdr>
    </w:div>
    <w:div w:id="21067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2019-11-14T10:08:00Z</dcterms:created>
  <dcterms:modified xsi:type="dcterms:W3CDTF">2019-11-14T10:08:00Z</dcterms:modified>
</cp:coreProperties>
</file>