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Pr="00644A58" w:rsidRDefault="00644A58" w:rsidP="00644A58">
      <w:pPr>
        <w:jc w:val="center"/>
        <w:rPr>
          <w:b/>
          <w:sz w:val="32"/>
          <w:u w:val="single"/>
        </w:rPr>
      </w:pPr>
      <w:r>
        <w:rPr>
          <w:b/>
          <w:sz w:val="32"/>
          <w:u w:val="single"/>
        </w:rPr>
        <w:t>Year 9 Health &amp; Social Care</w:t>
      </w:r>
    </w:p>
    <w:tbl>
      <w:tblPr>
        <w:tblStyle w:val="TableGrid"/>
        <w:tblW w:w="5000" w:type="pct"/>
        <w:tblLook w:val="04A0" w:firstRow="1" w:lastRow="0" w:firstColumn="1" w:lastColumn="0" w:noHBand="0" w:noVBand="1"/>
      </w:tblPr>
      <w:tblGrid>
        <w:gridCol w:w="2352"/>
        <w:gridCol w:w="3887"/>
        <w:gridCol w:w="4699"/>
        <w:gridCol w:w="4450"/>
      </w:tblGrid>
      <w:tr w:rsidR="00644A58" w:rsidRPr="003017B9" w:rsidTr="00644A58">
        <w:trPr>
          <w:tblHeader/>
        </w:trPr>
        <w:tc>
          <w:tcPr>
            <w:tcW w:w="764" w:type="pct"/>
          </w:tcPr>
          <w:p w:rsidR="00644A58" w:rsidRPr="003017B9" w:rsidRDefault="00644A58" w:rsidP="00F8545B">
            <w:pPr>
              <w:jc w:val="center"/>
              <w:rPr>
                <w:sz w:val="32"/>
              </w:rPr>
            </w:pPr>
          </w:p>
        </w:tc>
        <w:tc>
          <w:tcPr>
            <w:tcW w:w="1263" w:type="pct"/>
          </w:tcPr>
          <w:p w:rsidR="00644A58" w:rsidRPr="003017B9" w:rsidRDefault="00644A58" w:rsidP="00F8545B">
            <w:pPr>
              <w:jc w:val="center"/>
              <w:rPr>
                <w:b/>
                <w:u w:val="single"/>
              </w:rPr>
            </w:pPr>
            <w:r w:rsidRPr="003017B9">
              <w:rPr>
                <w:b/>
                <w:u w:val="single"/>
              </w:rPr>
              <w:t>Topic</w:t>
            </w:r>
          </w:p>
        </w:tc>
        <w:tc>
          <w:tcPr>
            <w:tcW w:w="1527" w:type="pct"/>
          </w:tcPr>
          <w:p w:rsidR="00644A58" w:rsidRPr="003017B9" w:rsidRDefault="00644A58"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446" w:type="pct"/>
          </w:tcPr>
          <w:p w:rsidR="00644A58" w:rsidRPr="003017B9" w:rsidRDefault="00644A58" w:rsidP="00F8545B">
            <w:pPr>
              <w:jc w:val="center"/>
              <w:rPr>
                <w:b/>
                <w:u w:val="single"/>
              </w:rPr>
            </w:pPr>
            <w:r>
              <w:rPr>
                <w:b/>
                <w:u w:val="single"/>
              </w:rPr>
              <w:t>What knowledge will they acquire?</w:t>
            </w:r>
          </w:p>
        </w:tc>
      </w:tr>
      <w:tr w:rsidR="00644A58" w:rsidRPr="003017B9" w:rsidTr="00644A58">
        <w:tc>
          <w:tcPr>
            <w:tcW w:w="5000" w:type="pct"/>
            <w:gridSpan w:val="4"/>
          </w:tcPr>
          <w:p w:rsidR="00644A58" w:rsidRPr="003017B9" w:rsidRDefault="00644A58" w:rsidP="00F8545B">
            <w:pPr>
              <w:tabs>
                <w:tab w:val="left" w:pos="1920"/>
                <w:tab w:val="center" w:pos="7662"/>
              </w:tabs>
              <w:rPr>
                <w:b/>
                <w:sz w:val="28"/>
              </w:rPr>
            </w:pPr>
            <w:r>
              <w:rPr>
                <w:b/>
                <w:sz w:val="28"/>
              </w:rPr>
              <w:tab/>
            </w:r>
            <w:r>
              <w:rPr>
                <w:b/>
                <w:sz w:val="28"/>
              </w:rPr>
              <w:tab/>
              <w:t>YEAR 9</w:t>
            </w:r>
            <w:r w:rsidRPr="003017B9">
              <w:rPr>
                <w:b/>
                <w:sz w:val="28"/>
              </w:rPr>
              <w:t xml:space="preserve"> OVERVIEW</w:t>
            </w:r>
          </w:p>
        </w:tc>
      </w:tr>
      <w:tr w:rsidR="00644A58" w:rsidRPr="003017B9" w:rsidTr="00644A58">
        <w:tc>
          <w:tcPr>
            <w:tcW w:w="764" w:type="pct"/>
          </w:tcPr>
          <w:p w:rsidR="00644A58" w:rsidRDefault="00644A58" w:rsidP="00F8545B">
            <w:pPr>
              <w:rPr>
                <w:b/>
                <w:sz w:val="28"/>
              </w:rPr>
            </w:pPr>
            <w:r>
              <w:rPr>
                <w:b/>
                <w:sz w:val="28"/>
              </w:rPr>
              <w:t>Y9</w:t>
            </w:r>
            <w:r w:rsidRPr="003017B9">
              <w:rPr>
                <w:b/>
                <w:sz w:val="28"/>
              </w:rPr>
              <w:t xml:space="preserve"> -  half term 1</w:t>
            </w:r>
          </w:p>
          <w:p w:rsidR="00644A58" w:rsidRDefault="00644A58" w:rsidP="00F8545B">
            <w:pPr>
              <w:rPr>
                <w:b/>
                <w:sz w:val="28"/>
              </w:rPr>
            </w:pPr>
          </w:p>
          <w:p w:rsidR="00644A58" w:rsidRDefault="00644A58" w:rsidP="00F8545B">
            <w:pPr>
              <w:rPr>
                <w:b/>
                <w:sz w:val="28"/>
              </w:rPr>
            </w:pPr>
            <w:r>
              <w:rPr>
                <w:b/>
                <w:sz w:val="28"/>
              </w:rPr>
              <w:t>Y9</w:t>
            </w:r>
            <w:r w:rsidRPr="003017B9">
              <w:rPr>
                <w:b/>
                <w:sz w:val="28"/>
              </w:rPr>
              <w:t xml:space="preserve"> – half term 2</w:t>
            </w:r>
          </w:p>
          <w:p w:rsidR="00644A58" w:rsidRDefault="00644A58" w:rsidP="00F8545B">
            <w:pPr>
              <w:rPr>
                <w:b/>
                <w:sz w:val="28"/>
              </w:rPr>
            </w:pPr>
          </w:p>
          <w:p w:rsidR="00644A58" w:rsidRDefault="00644A58" w:rsidP="00F8545B">
            <w:pPr>
              <w:rPr>
                <w:b/>
                <w:sz w:val="28"/>
              </w:rPr>
            </w:pPr>
            <w:r>
              <w:rPr>
                <w:b/>
                <w:sz w:val="28"/>
              </w:rPr>
              <w:t>Y9</w:t>
            </w:r>
            <w:r w:rsidRPr="003017B9">
              <w:rPr>
                <w:b/>
                <w:sz w:val="28"/>
              </w:rPr>
              <w:t xml:space="preserve"> – half </w:t>
            </w:r>
            <w:r>
              <w:rPr>
                <w:b/>
                <w:sz w:val="28"/>
              </w:rPr>
              <w:t>term 3</w:t>
            </w:r>
          </w:p>
          <w:p w:rsidR="00644A58" w:rsidRDefault="00644A58" w:rsidP="00F8545B">
            <w:pPr>
              <w:rPr>
                <w:b/>
                <w:sz w:val="28"/>
              </w:rPr>
            </w:pPr>
          </w:p>
          <w:p w:rsidR="00644A58" w:rsidRPr="003017B9" w:rsidRDefault="00644A58" w:rsidP="00F8545B">
            <w:pPr>
              <w:rPr>
                <w:b/>
                <w:sz w:val="28"/>
              </w:rPr>
            </w:pPr>
            <w:r>
              <w:rPr>
                <w:b/>
                <w:sz w:val="28"/>
              </w:rPr>
              <w:t>Y9</w:t>
            </w:r>
            <w:r w:rsidRPr="003017B9">
              <w:rPr>
                <w:b/>
                <w:sz w:val="28"/>
              </w:rPr>
              <w:t xml:space="preserve"> – half </w:t>
            </w:r>
            <w:r>
              <w:rPr>
                <w:b/>
                <w:sz w:val="28"/>
              </w:rPr>
              <w:t>term 4</w:t>
            </w:r>
          </w:p>
        </w:tc>
        <w:tc>
          <w:tcPr>
            <w:tcW w:w="1263" w:type="pct"/>
          </w:tcPr>
          <w:p w:rsidR="00644A58" w:rsidRPr="00644A58" w:rsidRDefault="00644A58" w:rsidP="00F8545B">
            <w:pPr>
              <w:rPr>
                <w:b/>
              </w:rPr>
            </w:pPr>
            <w:r w:rsidRPr="00644A58">
              <w:rPr>
                <w:b/>
              </w:rPr>
              <w:t>RO22</w:t>
            </w:r>
          </w:p>
          <w:p w:rsidR="00644A58" w:rsidRPr="00EF6A80" w:rsidRDefault="00644A58" w:rsidP="00F8545B">
            <w:r w:rsidRPr="00EF6A80">
              <w:rPr>
                <w:bCs/>
              </w:rPr>
              <w:t>Communicating and working with individuals in health, social care and early years settings</w:t>
            </w:r>
            <w:r>
              <w:rPr>
                <w:bCs/>
              </w:rPr>
              <w:t>.</w:t>
            </w:r>
          </w:p>
        </w:tc>
        <w:tc>
          <w:tcPr>
            <w:tcW w:w="1527" w:type="pct"/>
          </w:tcPr>
          <w:p w:rsidR="00644A58" w:rsidRDefault="00644A58" w:rsidP="007C075C">
            <w:pPr>
              <w:pStyle w:val="Default"/>
            </w:pPr>
          </w:p>
          <w:p w:rsidR="00644A58" w:rsidRPr="003017B9" w:rsidRDefault="00644A58" w:rsidP="007C075C">
            <w:r>
              <w:rPr>
                <w:color w:val="000000"/>
              </w:rPr>
              <w:t>This unit will provide learners with the underpinning knowledge and understanding of how to communicate effectively and what personal qualities will contribute to the creation of a caring environment when working with individuals in a health, social care and early years setting.</w:t>
            </w:r>
          </w:p>
        </w:tc>
        <w:tc>
          <w:tcPr>
            <w:tcW w:w="1446" w:type="pct"/>
          </w:tcPr>
          <w:p w:rsidR="00644A58" w:rsidRDefault="00644A58" w:rsidP="007C075C">
            <w:pPr>
              <w:pStyle w:val="Default"/>
            </w:pPr>
          </w:p>
          <w:p w:rsidR="00644A58" w:rsidRDefault="00644A58" w:rsidP="007C075C">
            <w:pPr>
              <w:rPr>
                <w:color w:val="000000"/>
              </w:rPr>
            </w:pPr>
            <w:r>
              <w:rPr>
                <w:color w:val="000000"/>
              </w:rPr>
              <w:t>On completion of this unit learners will be able to appreciate how the way they communicate and the personal qualities that they utilise when working with individuals in a health, social care or early years setting will have an impact on the care of those individuals.</w:t>
            </w:r>
          </w:p>
          <w:p w:rsidR="00644A58" w:rsidRDefault="00644A58" w:rsidP="007C075C">
            <w:pPr>
              <w:rPr>
                <w:color w:val="000000"/>
              </w:rPr>
            </w:pPr>
          </w:p>
          <w:p w:rsidR="00644A58" w:rsidRDefault="00644A58" w:rsidP="007C075C">
            <w:pPr>
              <w:rPr>
                <w:color w:val="000000"/>
              </w:rPr>
            </w:pPr>
            <w:r>
              <w:rPr>
                <w:color w:val="000000"/>
              </w:rPr>
              <w:t>They will be able to demonstrate that they have those effective communication skills that are needed to work in a health, social care or early years setting. They will be able to plan effectively for interactions in a health, social care and early years setting.</w:t>
            </w:r>
          </w:p>
          <w:p w:rsidR="00644A58" w:rsidRPr="003017B9" w:rsidRDefault="00644A58" w:rsidP="007C075C"/>
        </w:tc>
      </w:tr>
      <w:tr w:rsidR="00644A58" w:rsidRPr="003017B9" w:rsidTr="00644A58">
        <w:tc>
          <w:tcPr>
            <w:tcW w:w="764" w:type="pct"/>
          </w:tcPr>
          <w:p w:rsidR="00644A58" w:rsidRDefault="00644A58" w:rsidP="0094722D">
            <w:pPr>
              <w:rPr>
                <w:b/>
                <w:sz w:val="28"/>
              </w:rPr>
            </w:pPr>
            <w:r>
              <w:rPr>
                <w:b/>
                <w:sz w:val="28"/>
              </w:rPr>
              <w:t>Y9</w:t>
            </w:r>
            <w:r w:rsidRPr="003017B9">
              <w:rPr>
                <w:b/>
                <w:sz w:val="28"/>
              </w:rPr>
              <w:t xml:space="preserve"> – half </w:t>
            </w:r>
            <w:r>
              <w:rPr>
                <w:b/>
                <w:sz w:val="28"/>
              </w:rPr>
              <w:t>term 5</w:t>
            </w:r>
          </w:p>
          <w:p w:rsidR="00644A58" w:rsidRDefault="00644A58" w:rsidP="0094722D">
            <w:pPr>
              <w:rPr>
                <w:b/>
                <w:sz w:val="28"/>
              </w:rPr>
            </w:pPr>
          </w:p>
          <w:p w:rsidR="00644A58" w:rsidRDefault="00644A58" w:rsidP="0094722D">
            <w:pPr>
              <w:rPr>
                <w:b/>
                <w:sz w:val="28"/>
              </w:rPr>
            </w:pPr>
          </w:p>
          <w:p w:rsidR="00644A58" w:rsidRPr="003017B9" w:rsidRDefault="00644A58" w:rsidP="0094722D">
            <w:pPr>
              <w:rPr>
                <w:b/>
                <w:sz w:val="28"/>
              </w:rPr>
            </w:pPr>
            <w:r>
              <w:rPr>
                <w:b/>
                <w:sz w:val="28"/>
              </w:rPr>
              <w:t>Y9</w:t>
            </w:r>
            <w:r w:rsidRPr="003017B9">
              <w:rPr>
                <w:b/>
                <w:sz w:val="28"/>
              </w:rPr>
              <w:t xml:space="preserve"> – half </w:t>
            </w:r>
            <w:r>
              <w:rPr>
                <w:b/>
                <w:sz w:val="28"/>
              </w:rPr>
              <w:t>term 6</w:t>
            </w:r>
          </w:p>
        </w:tc>
        <w:tc>
          <w:tcPr>
            <w:tcW w:w="1263" w:type="pct"/>
          </w:tcPr>
          <w:p w:rsidR="00644A58" w:rsidRDefault="00644A58" w:rsidP="0094722D">
            <w:r>
              <w:t>RO29</w:t>
            </w:r>
          </w:p>
          <w:p w:rsidR="00644A58" w:rsidRPr="0094722D" w:rsidRDefault="00644A58" w:rsidP="0094722D">
            <w:r w:rsidRPr="0094722D">
              <w:rPr>
                <w:bCs/>
              </w:rPr>
              <w:t>Understanding the nutrients needed for good health</w:t>
            </w:r>
          </w:p>
          <w:p w:rsidR="00644A58" w:rsidRPr="003017B9" w:rsidRDefault="00644A58" w:rsidP="0094722D"/>
        </w:tc>
        <w:tc>
          <w:tcPr>
            <w:tcW w:w="1527" w:type="pct"/>
          </w:tcPr>
          <w:p w:rsidR="00644A58" w:rsidRPr="003017B9" w:rsidRDefault="00644A58" w:rsidP="0094722D">
            <w:r>
              <w:rPr>
                <w:color w:val="000000"/>
              </w:rPr>
              <w:t>On completion of this unit learners will have an understanding of the key nutrients required for good health from childhood to old age and be able to apply this knowledge in practical situations.</w:t>
            </w:r>
          </w:p>
        </w:tc>
        <w:tc>
          <w:tcPr>
            <w:tcW w:w="1446" w:type="pct"/>
          </w:tcPr>
          <w:p w:rsidR="00644A58" w:rsidRDefault="00644A58" w:rsidP="0094722D">
            <w:pPr>
              <w:rPr>
                <w:color w:val="000000"/>
              </w:rPr>
            </w:pPr>
            <w:r>
              <w:rPr>
                <w:color w:val="000000"/>
              </w:rPr>
              <w:t xml:space="preserve">This unit gives learners an overview of the importance of diet throughout the life stages, giving them the knowledge and skills to enable them to make choices which will affect their body throughout their lives. </w:t>
            </w:r>
          </w:p>
          <w:p w:rsidR="00644A58" w:rsidRDefault="00644A58" w:rsidP="0094722D">
            <w:pPr>
              <w:rPr>
                <w:color w:val="000000"/>
              </w:rPr>
            </w:pPr>
          </w:p>
          <w:p w:rsidR="00644A58" w:rsidRDefault="00644A58" w:rsidP="0094722D">
            <w:pPr>
              <w:rPr>
                <w:color w:val="000000"/>
              </w:rPr>
            </w:pPr>
            <w:r>
              <w:rPr>
                <w:color w:val="000000"/>
              </w:rPr>
              <w:t>Food is essential to our health and social well-being, throughout our daily lives from birth to old age. What we eat is often determined by a considerable number of factors.</w:t>
            </w:r>
          </w:p>
          <w:p w:rsidR="00644A58" w:rsidRPr="00644A58" w:rsidRDefault="00644A58" w:rsidP="0094722D">
            <w:pPr>
              <w:rPr>
                <w:color w:val="000000"/>
              </w:rPr>
            </w:pPr>
            <w:bookmarkStart w:id="0" w:name="_GoBack"/>
            <w:bookmarkEnd w:id="0"/>
          </w:p>
        </w:tc>
      </w:tr>
    </w:tbl>
    <w:p w:rsidR="00CC3664" w:rsidRDefault="00CC3664" w:rsidP="00CC3664"/>
    <w:p w:rsidR="00CC3664" w:rsidRDefault="00CC3664" w:rsidP="00CC3664"/>
    <w:p w:rsidR="00375832" w:rsidRDefault="00375832"/>
    <w:sectPr w:rsidR="00375832"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41A93"/>
    <w:rsid w:val="000C2E4B"/>
    <w:rsid w:val="001D23B7"/>
    <w:rsid w:val="001E7EB5"/>
    <w:rsid w:val="00375832"/>
    <w:rsid w:val="00442F91"/>
    <w:rsid w:val="00643B44"/>
    <w:rsid w:val="00644A58"/>
    <w:rsid w:val="00682519"/>
    <w:rsid w:val="007C075C"/>
    <w:rsid w:val="007D01B7"/>
    <w:rsid w:val="008F6071"/>
    <w:rsid w:val="0094722D"/>
    <w:rsid w:val="00CC3664"/>
    <w:rsid w:val="00CE6D37"/>
    <w:rsid w:val="00DF6CFB"/>
    <w:rsid w:val="00EF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 w:type="paragraph" w:customStyle="1" w:styleId="Default">
    <w:name w:val="Default"/>
    <w:rsid w:val="007C07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Haydock</dc:creator>
  <cp:keywords/>
  <dc:description/>
  <cp:lastModifiedBy>Miss A Jordinson</cp:lastModifiedBy>
  <cp:revision>2</cp:revision>
  <dcterms:created xsi:type="dcterms:W3CDTF">2020-01-09T15:36:00Z</dcterms:created>
  <dcterms:modified xsi:type="dcterms:W3CDTF">2020-01-09T15:36:00Z</dcterms:modified>
</cp:coreProperties>
</file>